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28/03/2026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Panneau en polyuréthane ou polyisocyanurate (PUR/PIR) parementé support d’étanchéité sous protection lourde</w:t>
      </w:r>
    </w:p>
    <w:p>
      <w:pPr/>
      <w:r>
        <w:rPr>
          <w:rStyle w:val="font_h1"/>
        </w:rPr>
        <w:t xml:space="preserve">1. Principe et domaine d'emploi</w:t>
      </w:r>
    </w:p>
    <w:p>
      <w:pPr>
        <w:ind w:left="720" w:right="0"/>
      </w:pPr>
      <w:r>
        <w:rPr>
          <w:rStyle w:val="font_h2"/>
        </w:rPr>
        <w:t xml:space="preserve">1.1. Description succincte du procédé</w:t>
      </w:r>
    </w:p>
    <w:p>
      <w:pPr>
        <w:ind w:left="720" w:right="0"/>
      </w:pPr>
      <w:r>
        <w:rPr>
          <w:rStyle w:val="font_h2"/>
        </w:rPr>
        <w:t xml:space="preserve">1.2. Domaine d'emploi</w:t>
      </w:r>
    </w:p>
    <w:p>
      <w:pPr>
        <w:ind w:left="720" w:right="0"/>
      </w:pPr>
      <w:r>
        <w:rPr>
          <w:rStyle w:val="font_h2"/>
        </w:rPr>
        <w:t xml:space="preserve">1.3. Résistance au vent</w:t>
      </w:r>
    </w:p>
    <w:p>
      <w:pPr>
        <w:ind w:left="720" w:right="0"/>
      </w:pPr>
      <w:r>
        <w:rPr>
          <w:rStyle w:val="font_h2"/>
        </w:rPr>
        <w:t xml:space="preserve">1.4. Marquage CE</w:t>
      </w:r>
    </w:p>
    <w:p>
      <w:pPr/>
      <w:r>
        <w:rPr>
          <w:rStyle w:val="font_h1"/>
        </w:rPr>
        <w:t xml:space="preserve">2. Description des produits</w:t>
      </w:r>
    </w:p>
    <w:p>
      <w:pPr>
        <w:ind w:left="720" w:right="0"/>
      </w:pPr>
      <w:r>
        <w:rPr>
          <w:rStyle w:val="font_h2"/>
        </w:rPr>
        <w:t xml:space="preserve">2.1. Désignation commerciale</w:t>
      </w:r>
    </w:p>
    <w:p>
      <w:pPr>
        <w:ind w:left="720" w:right="0"/>
      </w:pPr>
      <w:r>
        <w:rPr>
          <w:rStyle w:val="font_h2"/>
        </w:rPr>
        <w:t xml:space="preserve">2.2. Composition du produit</w:t>
      </w:r>
    </w:p>
    <w:p>
      <w:pPr>
        <w:ind w:left="720" w:right="0"/>
      </w:pPr>
      <w:r>
        <w:rPr>
          <w:rStyle w:val="font_h2"/>
        </w:rPr>
        <w:t xml:space="preserve">2.3. Caractéristiques d'identification du produit</w:t>
      </w:r>
    </w:p>
    <w:p>
      <w:pPr>
        <w:ind w:left="720" w:right="0"/>
      </w:pPr>
      <w:r>
        <w:rPr>
          <w:rStyle w:val="font_h2"/>
        </w:rPr>
        <w:t xml:space="preserve">2.4. Caractéristiques d'aptitude à l'emploi du produit</w:t>
      </w:r>
    </w:p>
    <w:p>
      <w:pPr>
        <w:ind w:left="1440" w:right="0"/>
      </w:pPr>
      <w:r>
        <w:rPr>
          <w:rStyle w:val="font_h3"/>
        </w:rPr>
        <w:t xml:space="preserve">2.4.1. Comportement sous sollicitations mécaniques</w:t>
      </w:r>
    </w:p>
    <w:p>
      <w:pPr>
        <w:ind w:left="2160" w:right="0"/>
      </w:pPr>
      <w:r>
        <w:rPr>
          <w:rStyle w:val="font_h3"/>
        </w:rPr>
        <w:t xml:space="preserve">2.4.1.1. Essai de comportement de l'isolant sous charges statiques réparties et températures élevées (essai de classe)</w:t>
      </w:r>
    </w:p>
    <w:p>
      <w:pPr>
        <w:ind w:left="2160" w:right="0"/>
      </w:pPr>
      <w:r>
        <w:rPr>
          <w:rStyle w:val="font_h3"/>
        </w:rPr>
        <w:t xml:space="preserve">2.4.1.2. Essai de comportement de l'isolant sous charge maintenue en température</w:t>
      </w:r>
    </w:p>
    <w:p>
      <w:pPr>
        <w:ind w:left="2160" w:right="0"/>
      </w:pPr>
      <w:r>
        <w:rPr>
          <w:rStyle w:val="font_h3"/>
        </w:rPr>
        <w:t xml:space="preserve">2.4.1.3. Essai porte à faux</w:t>
      </w:r>
    </w:p>
    <w:p>
      <w:pPr>
        <w:ind w:left="2160" w:right="0"/>
      </w:pPr>
      <w:r>
        <w:rPr>
          <w:rStyle w:val="font_h3"/>
        </w:rPr>
        <w:t xml:space="preserve">2.4.1.4. Essai porte à faux (Ohn  70mm)</w:t>
      </w:r>
    </w:p>
    <w:p>
      <w:pPr>
        <w:ind w:left="2160" w:right="0"/>
      </w:pPr>
      <w:r>
        <w:rPr>
          <w:rStyle w:val="font_h3"/>
        </w:rPr>
        <w:t xml:space="preserve">2.4.1.5. Essai sous charges concentrées à mi-point d'une portée libre</w:t>
      </w:r>
    </w:p>
    <w:p>
      <w:pPr>
        <w:ind w:left="1440" w:right="0"/>
      </w:pPr>
      <w:r>
        <w:rPr>
          <w:rStyle w:val="font_h3"/>
        </w:rPr>
        <w:t xml:space="preserve">2.4.2. Comportement à l'eau</w:t>
      </w:r>
    </w:p>
    <w:p>
      <w:pPr>
        <w:ind w:left="2160" w:right="0"/>
      </w:pPr>
      <w:r>
        <w:rPr>
          <w:rStyle w:val="font_h3"/>
        </w:rPr>
        <w:t xml:space="preserve">2.4.2.1. Essai de compression après immersion</w:t>
      </w:r>
    </w:p>
    <w:p>
      <w:pPr>
        <w:ind w:left="2160" w:right="0"/>
      </w:pPr>
      <w:r>
        <w:rPr>
          <w:rStyle w:val="font_h3"/>
        </w:rPr>
        <w:t xml:space="preserve">2.4.2.2. Essai de traction perpendiculaire aux faces après immersion</w:t>
      </w:r>
    </w:p>
    <w:p>
      <w:pPr>
        <w:ind w:left="2160" w:right="0"/>
      </w:pPr>
      <w:r>
        <w:rPr>
          <w:rStyle w:val="font_h3"/>
        </w:rPr>
        <w:t xml:space="preserve">2.4.2.3. Essai de traction perpendiculaire aux faces après traitement d'humidification</w:t>
      </w:r>
    </w:p>
    <w:p>
      <w:pPr>
        <w:ind w:left="1440" w:right="0"/>
      </w:pPr>
      <w:r>
        <w:rPr>
          <w:rStyle w:val="font_h3"/>
        </w:rPr>
        <w:t xml:space="preserve">2.4.3. Compatibilité de colle</w:t>
      </w:r>
    </w:p>
    <w:p>
      <w:pPr>
        <w:ind w:left="720" w:right="0"/>
      </w:pPr>
      <w:r>
        <w:rPr>
          <w:rStyle w:val="font_h2"/>
        </w:rPr>
        <w:t xml:space="preserve">2.5. Dimensionnement</w:t>
      </w:r>
    </w:p>
    <w:p>
      <w:pPr/>
      <w:r>
        <w:rPr/>
        <w:t xml:space="preserve">Validé par le Groupe Spécialisé le 18/12/2019</w:t>
      </w:r>
    </w:p>
    <w:p>
      <w:pPr/>
      <w:r>
        <w:rPr>
          <w:b/>
          <w:bCs/>
        </w:rPr>
        <w:t xml:space="preserve">Description</w:t>
      </w:r>
    </w:p>
    <w:p>
      <w:pPr/>
      <w:r>
        <w:rPr/>
        <w:t xml:space="preserve">Lors de l’essai de variation dimensionnelle à l’état de libre déformation (Guide UEAtc), l’essai s’effectue avec la moyenne de VD des 6 valeurs en sens L, et la moyenne des 6 valeurs en sens T.En cas d’anomalie sur une ou des valeurs individuelles repérées lors de l’instruction, le GS 5.2 sera consulté.</w:t>
      </w:r>
    </w:p>
    <w:p>
      <w:pPr>
        <w:ind w:left="720" w:right="0"/>
      </w:pPr>
      <w:r>
        <w:rPr>
          <w:rStyle w:val="font_h2"/>
        </w:rPr>
        <w:t xml:space="preserve">2.6. Matériaux pour écran pare-vapeur</w:t>
      </w:r>
    </w:p>
    <w:p>
      <w:pPr>
        <w:ind w:left="720" w:right="0"/>
      </w:pPr>
      <w:r>
        <w:rPr>
          <w:rStyle w:val="font_h2"/>
        </w:rPr>
        <w:t xml:space="preserve">2.7. Accessoires de fixation</w:t>
      </w:r>
    </w:p>
    <w:p>
      <w:pPr>
        <w:ind w:left="720" w:right="0"/>
      </w:pPr>
      <w:r>
        <w:rPr>
          <w:rStyle w:val="font_h2"/>
        </w:rPr>
        <w:t xml:space="preserve">2.8. Matériaux d'étanchéité</w:t>
      </w:r>
    </w:p>
    <w:p>
      <w:pPr/>
      <w:r>
        <w:rPr>
          <w:rStyle w:val="font_h1"/>
        </w:rPr>
        <w:t xml:space="preserve">3. Fabrication et controle</w:t>
      </w:r>
    </w:p>
    <w:p>
      <w:pPr>
        <w:ind w:left="720" w:right="0"/>
      </w:pPr>
      <w:r>
        <w:rPr>
          <w:rStyle w:val="font_h2"/>
        </w:rPr>
        <w:t xml:space="preserve">3.1. Usine de fabrication</w:t>
      </w:r>
    </w:p>
    <w:p>
      <w:pPr>
        <w:ind w:left="720" w:right="0"/>
      </w:pPr>
      <w:r>
        <w:rPr>
          <w:rStyle w:val="font_h2"/>
        </w:rPr>
        <w:t xml:space="preserve">3.2. Description de la fabrication</w:t>
      </w:r>
    </w:p>
    <w:p>
      <w:pPr>
        <w:ind w:left="720" w:right="0"/>
      </w:pPr>
      <w:r>
        <w:rPr>
          <w:rStyle w:val="font_h2"/>
        </w:rPr>
        <w:t xml:space="preserve">3.3. Contrôles de fabrication</w:t>
      </w:r>
    </w:p>
    <w:p>
      <w:pPr/>
      <w:r>
        <w:rPr>
          <w:rStyle w:val="font_h1"/>
        </w:rPr>
        <w:t xml:space="preserve">4. Mise en oeuvre</w:t>
      </w:r>
    </w:p>
    <w:p>
      <w:pPr>
        <w:ind w:left="720" w:right="0"/>
      </w:pPr>
      <w:r>
        <w:rPr>
          <w:rStyle w:val="font_h2"/>
        </w:rPr>
        <w:t xml:space="preserve">4.1. Mise en oeuvre du pare-vapeur</w:t>
      </w:r>
    </w:p>
    <w:p>
      <w:pPr>
        <w:ind w:left="720" w:right="0"/>
      </w:pPr>
      <w:r>
        <w:rPr>
          <w:rStyle w:val="font_h2"/>
        </w:rPr>
        <w:t xml:space="preserve">4.2. Mise en oeuvre sur des supports constitués d'anciens revêtements d'étanchéité</w:t>
      </w:r>
    </w:p>
    <w:p>
      <w:pPr>
        <w:ind w:left="720" w:right="0"/>
      </w:pPr>
      <w:r>
        <w:rPr>
          <w:rStyle w:val="font_h2"/>
        </w:rPr>
        <w:t xml:space="preserve">4.3. Mise en oeuvre des panneaux isolants</w:t>
      </w:r>
    </w:p>
    <w:p>
      <w:pPr>
        <w:ind w:left="720" w:right="0"/>
      </w:pPr>
      <w:r>
        <w:rPr>
          <w:rStyle w:val="font_h2"/>
        </w:rPr>
        <w:t xml:space="preserve">4.4. Mise en oeuvre du revêtement d'étanchéité</w:t>
      </w:r>
    </w:p>
    <w:p>
      <w:pPr>
        <w:ind w:left="720" w:right="0"/>
      </w:pPr>
      <w:r>
        <w:rPr>
          <w:rStyle w:val="font_h2"/>
        </w:rPr>
        <w:t xml:space="preserve">4.5. Mise en oeuvre de la protection d'étanchéité</w:t>
      </w:r>
    </w:p>
    <w:p>
      <w:pPr>
        <w:ind w:left="720" w:right="0"/>
      </w:pPr>
      <w:r>
        <w:rPr>
          <w:rStyle w:val="font_h2"/>
        </w:rPr>
        <w:t xml:space="preserve">4.6. Chantiers de référence</w:t>
      </w:r>
    </w:p>
    <w:p>
      <w:pPr>
        <w:ind w:left="720" w:right="0"/>
      </w:pPr>
      <w:r>
        <w:rPr>
          <w:rStyle w:val="font_h2"/>
        </w:rPr>
        <w:t xml:space="preserve">4.7. Assistance Technique</w:t>
      </w:r>
    </w:p>
    <w:p>
      <w:pPr/>
      <w:r>
        <w:rPr>
          <w:rStyle w:val="font_h1"/>
        </w:rPr>
        <w:t xml:space="preserve">5. Autres justifications</w:t>
      </w:r>
    </w:p>
    <w:p>
      <w:pPr>
        <w:ind w:left="720" w:right="0"/>
      </w:pPr>
      <w:r>
        <w:rPr>
          <w:rStyle w:val="font_h2"/>
        </w:rPr>
        <w:t xml:space="preserve">5.1. Exemple de calcul thermique</w:t>
      </w:r>
    </w:p>
    <w:p>
      <w:pPr>
        <w:ind w:left="720" w:right="0"/>
      </w:pPr>
      <w:r>
        <w:rPr>
          <w:rStyle w:val="font_h2"/>
        </w:rPr>
        <w:t xml:space="preserve">5.2. Aspects environnementaux</w:t>
      </w:r>
    </w:p>
    <w:p>
      <w:pPr>
        <w:ind w:left="720" w:right="0"/>
      </w:pPr>
      <w:r>
        <w:rPr>
          <w:rStyle w:val="font_h2"/>
        </w:rPr>
        <w:t xml:space="preserve">5.3. Prévention des accidents et des risques lors de la mise en oeuvre et de l'entretien</w:t>
      </w:r>
    </w:p>
    <w:p>
      <w:pPr>
        <w:ind w:left="720" w:right="0"/>
      </w:pPr>
      <w:r>
        <w:rPr>
          <w:rStyle w:val="font_h2"/>
        </w:rPr>
        <w:t xml:space="preserve">5.4. Aspects sanitaires</w:t>
      </w:r>
    </w:p>
    <w:p>
      <w:pPr/>
      <w:r>
        <w:rPr>
          <w:rStyle w:val="font_h1"/>
        </w:rPr>
        <w:t xml:space="preserve">6.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2026-03-28T20:20:18+01:00</dcterms:created>
  <dcterms:modified xsi:type="dcterms:W3CDTF">2026-03-28T20:20:18+01:00</dcterms:modified>
</cp:coreProperties>
</file>

<file path=docProps/custom.xml><?xml version="1.0" encoding="utf-8"?>
<Properties xmlns="http://schemas.openxmlformats.org/officeDocument/2006/custom-properties" xmlns:vt="http://schemas.openxmlformats.org/officeDocument/2006/docPropsVTypes"/>
</file>