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Dimensionnement</w:t>
      </w:r>
    </w:p>
    <w:p>
      <w:pPr/>
      <w:r>
        <w:rPr/>
        <w:t xml:space="preserve">Validé par le Groupe Spécialisé le 18/12/2019</w:t>
      </w:r>
    </w:p>
    <w:p>
      <w:pPr/>
      <w:r>
        <w:rPr>
          <w:b/>
          <w:bCs/>
        </w:rPr>
        <w:t xml:space="preserve">Description</w:t>
      </w:r>
    </w:p>
    <w:p>
      <w:pPr/>
      <w:r>
        <w:rPr/>
        <w:t xml:space="preserve">Lors de l’essai de variation dimensionnelle à l’état de libre déformation (Guide UEAtc), l’essai s’effectue avec la moyenne de VD des 6 valeurs en sens L, et la moyenne des 6 valeurs en sens T.En cas d’anomalie sur une ou des valeurs individuelles repérées lors de l’instruction, le GS 5.2 sera consulté.</w:t>
      </w:r>
    </w:p>
    <w:p>
      <w:pPr>
        <w:ind w:left="720" w:right="0"/>
      </w:pPr>
      <w:r>
        <w:rPr>
          <w:rStyle w:val="font_h2"/>
        </w:rPr>
        <w:t xml:space="preserve">2.6. Matériaux pour écran pare-vapeur</w:t>
      </w:r>
    </w:p>
    <w:p>
      <w:pPr>
        <w:ind w:left="720" w:right="0"/>
      </w:pPr>
      <w:r>
        <w:rPr>
          <w:rStyle w:val="font_h2"/>
        </w:rPr>
        <w:t xml:space="preserve">2.7. Accessoires de fixation</w:t>
      </w:r>
    </w:p>
    <w:p>
      <w:pPr>
        <w:ind w:left="720" w:right="0"/>
      </w:pPr>
      <w:r>
        <w:rPr>
          <w:rStyle w:val="font_h2"/>
        </w:rPr>
        <w:t xml:space="preserve">2.8.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2026-07-05T01:47:04+02:00</dcterms:created>
  <dcterms:modified xsi:type="dcterms:W3CDTF">2026-07-05T01:47:04+02:00</dcterms:modified>
</cp:coreProperties>
</file>

<file path=docProps/custom.xml><?xml version="1.0" encoding="utf-8"?>
<Properties xmlns="http://schemas.openxmlformats.org/officeDocument/2006/custom-properties" xmlns:vt="http://schemas.openxmlformats.org/officeDocument/2006/docPropsVTypes"/>
</file>