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15/12/2025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en polycarbonate</w:t>
      </w:r>
    </w:p>
    <w:p>
      <w:pPr/>
      <w:r>
        <w:rPr>
          <w:rStyle w:val="font_h1"/>
        </w:rPr>
        <w:t xml:space="preserve">1. Domaine d'emploi</w:t>
      </w:r>
    </w:p>
    <w:p>
      <w:pPr/>
      <w:r>
        <w:rPr/>
        <w:t xml:space="preserve">Validé par le Groupe Spécialisé le 05/12/2017</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r>
        <w:rPr>
          <w:rStyle w:val="font_h1"/>
        </w:rPr>
        <w:t xml:space="preserve">2. Eléments</w:t>
      </w:r>
    </w:p>
    <w:p>
      <w:pPr>
        <w:ind w:left="720" w:right="0"/>
      </w:pPr>
      <w:r>
        <w:rPr>
          <w:rStyle w:val="font_h2"/>
        </w:rPr>
        <w:t xml:space="preserve">2.1. Parements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05/12/2017</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Ossature bois</w:t>
      </w:r>
    </w:p>
    <w:p>
      <w:pPr/>
      <w:r>
        <w:rPr/>
        <w:t xml:space="preserve">Validé par le Groupe Spécialisé le 05/12/2017</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3316-V2.</w:t>
      </w:r>
    </w:p>
    <w:p>
      <w:pPr>
        <w:ind w:left="1440" w:right="0"/>
      </w:pPr>
      <w:r>
        <w:rPr>
          <w:rStyle w:val="font_h3"/>
        </w:rPr>
        <w:t xml:space="preserve">2.3.2. Ossature métallique</w:t>
      </w:r>
    </w:p>
    <w:p>
      <w:pPr/>
      <w:r>
        <w:rPr/>
        <w:t xml:space="preserve">Validé par le Groupe Spécialisé le 05/12/2017</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05/12/2017</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05/12/2017</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05/12/2017</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05/12/2017</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05/12/2017</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 et/ou Cahier du CSTB 3194 et son modificatif 3586-V2.</w:t>
      </w:r>
    </w:p>
    <w:p>
      <w:pPr>
        <w:ind w:left="720" w:right="0"/>
      </w:pPr>
      <w:r>
        <w:rPr>
          <w:rStyle w:val="font_h2"/>
        </w:rPr>
        <w:t xml:space="preserve">6.2. Ossature bois</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w:t>
      </w:r>
    </w:p>
    <w:p>
      <w:pPr>
        <w:ind w:left="720" w:right="0"/>
      </w:pPr>
      <w:r>
        <w:rPr>
          <w:rStyle w:val="font_h2"/>
        </w:rPr>
        <w:t xml:space="preserve">6.3. Ossature métallique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3194 et son modificatif 3586-V2.</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05/12/2017</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ind w:left="720" w:right="0"/>
      </w:pPr>
      <w:r>
        <w:rPr>
          <w:rStyle w:val="font_h2"/>
        </w:rPr>
        <w:t xml:space="preserve">7.2. Pose des éléments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principe sur ossature bois </w:t>
      </w:r>
    </w:p>
    <w:p>
      <w:pPr/>
      <w:r>
        <w:rPr/>
        <w:t xml:space="preserve">Schéma de principe sur ossature métallique </w:t>
      </w:r>
    </w:p>
    <w:p>
      <w:pPr/>
      <w:r>
        <w:rPr/>
        <w:t xml:space="preserve">Figures communes ossature bois / ossature métallique :•Joint horizontal (coupe verticale)•Joint vertical (coupe horizontale)•Arrêt sur acrotère•Arrêt latéral•Joint de dilatation•Angle rentrant•Compartimentage horizontal de la lame d’air•Pose en zone exposée aux chocs : renforcement éventuel•Remplacement d’un élément </w:t>
      </w:r>
    </w:p>
    <w:p>
      <w:pPr/>
      <w:r>
        <w:rPr/>
        <w:t xml:space="preserve">Figures ne concernant que l’ossature bois :•Départ de bardage•Appui de baie•Tableau•Linteau•Angle sortant•Fractionnement de l’ossature : Chevrons de longueur ≤ 5,40m•Fractionnement de l’ossature : Chevrons de longueur comprise entre 5,40m et 11m </w:t>
      </w:r>
    </w:p>
    <w:p>
      <w:pPr/>
      <w:r>
        <w:rPr/>
        <w:t xml:space="preserve">Figures ne concernant que l’ossature métallique :•Départ de bardage•Appui de baie•Tableau•Linteau•Angle sortant•Fractionnement de l’ossature : Montants acier de longueur ≤ 6m / Montants en aluminium de longueur ≤ 3m•Fractionnement de l’ossature : Montants en aluminium de longueur comprise entre 3m et 6m </w:t>
      </w:r>
    </w:p>
    <w:p>
      <w:pPr/>
      <w:r>
        <w:rPr/>
        <w:t xml:space="preserve">Figures sur COB :•Coupe horizontale sur COB•Coupe verticale sur COB•Recoupement du pare-pluie tous les 6m</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05/12/2017</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05/12/2017</w:t>
      </w:r>
    </w:p>
    <w:p>
      <w:pPr/>
      <w:r>
        <w:rPr>
          <w:b/>
          <w:bCs/>
        </w:rPr>
        <w:t xml:space="preserve">Description</w:t>
      </w:r>
    </w:p>
    <w:p>
      <w:pPr/>
      <w:r>
        <w:rPr/>
        <w:t xml:space="preserve">Dans les cas suivants :</w:t>
      </w:r>
    </w:p>
    <w:p>
      <w:pPr>
        <w:pPr/>
        <w:numPr>
          <w:ilvl w:val="0"/>
          <w:numId w:val="16"/>
        </w:numPr>
      </w:pPr>
      <w:r>
        <w:rPr/>
        <w:t xml:space="preserve">de 10 à 18 m de hauteur (+ pointe de pignon) en zones de vent 1, 2 et 3 en situations a, b et c,</w:t>
      </w:r>
    </w:p>
    <w:p>
      <w:pPr>
        <w:pPr/>
        <w:numPr>
          <w:ilvl w:val="0"/>
          <w:numId w:val="16"/>
        </w:numPr>
      </w:pPr>
      <w:r>
        <w:rPr/>
        <w:t xml:space="preserve">de 6 à 10 m de hauteur (+ pointe de pignon) en zones de vent 1 à 4 en situation d,</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7"/>
        </w:numPr>
      </w:pPr>
      <w:r>
        <w:rPr/>
        <w:t xml:space="preserve">Joints fermés par des profilés « chaises » ou façonnés métalliques ,</w:t>
      </w:r>
    </w:p>
    <w:p>
      <w:pPr>
        <w:pPr/>
        <w:numPr>
          <w:ilvl w:val="0"/>
          <w:numId w:val="17"/>
        </w:numPr>
      </w:pPr>
      <w:r>
        <w:rPr/>
        <w:t xml:space="preserve">Mise en œuvre de bavettes à oreilles en profilés métalliques pré-formés prolongées au-delà du plan vertical du parement, </w:t>
      </w:r>
    </w:p>
    <w:p>
      <w:pPr>
        <w:pPr/>
        <w:numPr>
          <w:ilvl w:val="0"/>
          <w:numId w:val="17"/>
        </w:numPr>
      </w:pPr>
      <w:r>
        <w:rPr/>
        <w:t xml:space="preserve">Mise en œuvre de profilés métalliques préformés en linteau prolongés de 40 mm au-delà des tableaux des baies,</w:t>
      </w:r>
    </w:p>
    <w:p>
      <w:pPr>
        <w:pPr/>
        <w:numPr>
          <w:ilvl w:val="0"/>
          <w:numId w:val="17"/>
        </w:numPr>
      </w:pPr>
      <w:r>
        <w:rPr/>
        <w:t xml:space="preserve">Mise en œuvre de profilés métalliques préformés sur les tableaux des baies.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05/12/2017</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ind w:left="720" w:right="0"/>
      </w:pPr>
      <w:r>
        <w:rPr>
          <w:rStyle w:val="font_h2"/>
        </w:rPr>
        <w:t xml:space="preserve">9.2. Chevilles de fixation ou tirefonds</w:t>
      </w:r>
    </w:p>
    <w:p>
      <w:pPr/>
      <w:r>
        <w:rPr/>
        <w:t xml:space="preserve">Validé par le Groupe Spécialisé le 05/12/2017</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Fournir les calculs de sollicitations des chevilles de fixation ou des tirefonds suivant le Cahier du CSTB 3725. </w:t>
      </w:r>
    </w:p>
    <w:p>
      <w:pPr/>
      <w:r>
        <w:rPr/>
        <w:t xml:space="preserve">Fournir une référence de fixation satisfaisant à ces sollicitations.</w:t>
      </w:r>
    </w:p>
    <w:p>
      <w:pPr>
        <w:ind w:left="720" w:right="0"/>
      </w:pPr>
      <w:r>
        <w:rPr>
          <w:rStyle w:val="font_h2"/>
        </w:rPr>
        <w:t xml:space="preserve">9.3. Points singuliers</w:t>
      </w:r>
    </w:p>
    <w:p>
      <w:pPr/>
      <w:r>
        <w:rPr/>
        <w:t xml:space="preserve">Validé par le Groupe Spécialisé le 05/12/2017</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8"/>
        </w:numPr>
      </w:pPr>
      <w:r>
        <w:rPr/>
        <w:t xml:space="preserve">Traitement du joint de dilatation du gros œuvre de 12 à 15 cm </w:t>
      </w:r>
    </w:p>
    <w:p>
      <w:pPr>
        <w:pPr/>
        <w:numPr>
          <w:ilvl w:val="0"/>
          <w:numId w:val="18"/>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05/12/2017</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05/12/2017</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6E82C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4A0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D7F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9920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947A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68E0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637A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E1F5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6EE1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CC0A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2025-12-15T03:41:18+01:00</dcterms:created>
  <dcterms:modified xsi:type="dcterms:W3CDTF">2025-12-15T03:41:18+01:00</dcterms:modified>
</cp:coreProperties>
</file>

<file path=docProps/custom.xml><?xml version="1.0" encoding="utf-8"?>
<Properties xmlns="http://schemas.openxmlformats.org/officeDocument/2006/custom-properties" xmlns:vt="http://schemas.openxmlformats.org/officeDocument/2006/docPropsVTypes"/>
</file>