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05/11/2025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polystyrène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d’essaisétablis par le laboratoire doit être faite afin que le laboratoire agréé délivre un classement valable en France. »</w:t>
      </w:r>
    </w:p>
    <w:p>
      <w:pPr/>
      <w:r>
        <w:rPr>
          <w:rStyle w:val="font_h1"/>
        </w:rPr>
        <w:t xml:space="preserve">2. Domaine d'emploi</w:t>
      </w:r>
    </w:p>
    <w:p>
      <w:pPr/>
      <w:r>
        <w:rPr/>
        <w:t xml:space="preserve">Validé par le Groupe Spécialisé le 03/03/2020</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PSE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w:t>
      </w:r>
    </w:p>
    <w:p>
      <w:pPr>
        <w:pPr/>
        <w:numPr>
          <w:ilvl w:val="1"/>
          <w:numId w:val="11"/>
        </w:numPr>
      </w:pPr>
      <w:r>
        <w:rPr/>
        <w:t xml:space="preserve">le profil ISOLE du panneau ou des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la réglementation REACH,</w:t>
      </w:r>
    </w:p>
    <w:p>
      <w:pPr>
        <w:pPr/>
        <w:numPr>
          <w:ilvl w:val="0"/>
          <w:numId w:val="12"/>
        </w:numPr>
      </w:pPr>
      <w:r>
        <w:rPr/>
        <w:t xml:space="preserve">Valeur du Pouvoir Calorifique Supérieur du Matériau (MJ/m</w:t>
      </w:r>
      <w:r>
        <w:rPr>
          <w:vertAlign w:val="superscript"/>
        </w:rPr>
        <w:t xml:space="preserve">2</w:t>
      </w:r>
      <w:r>
        <w:rPr/>
        <w:t xml:space="preserve">/mm),</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Justification générique ou particulière du déboutonnage des fixations (chevilles).</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3.1.4. Profilés de fixation pour isolant</w:t>
      </w:r>
    </w:p>
    <w:p>
      <w:pPr/>
      <w:r>
        <w:rPr/>
        <w:t xml:space="preserve">Validé par le Groupe Spécialisé le 23/09/2021</w:t>
      </w:r>
    </w:p>
    <w:p>
      <w:pPr/>
      <w:r>
        <w:rPr>
          <w:b/>
          <w:bCs/>
        </w:rPr>
        <w:t xml:space="preserve">Description</w:t>
      </w:r>
    </w:p>
    <w:p>
      <w:pPr/>
      <w:r>
        <w:rPr/>
        <w:t xml:space="preserve">Lorsqu'un mode de fixation mécanique par profilés est visé, description des caractéristiques et performances des profilés de fixation visés</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(Europrean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25/09/2018</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04/12/2018</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04/12/2018</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r>
        <w:rPr/>
        <w:t xml:space="preserve">Note :Dans le cas d’un collage de l’isolant PSE gris par plots ou par boudins, le maintien nécessite 2 chevilles par panneau isolant, à mi- largeur et à environ 1/3 de la longueur à partir des bords du panneau.Les chevilles devront être mises avant la prise de la colle.</w:t>
      </w:r>
    </w:p>
    <w:p>
      <w:pPr>
        <w:ind w:left="2160" w:right="0"/>
      </w:pPr>
      <w:r>
        <w:rPr>
          <w:rStyle w:val="font_h3"/>
        </w:rPr>
        <w:t xml:space="preserve">5.1.1.2. Fixation mécanique par profilés</w:t>
      </w:r>
    </w:p>
    <w:p>
      <w:pPr/>
      <w:r>
        <w:rPr/>
        <w:t xml:space="preserve">Validé par le Groupe Spécialisé le 25/09/2018</w:t>
      </w:r>
    </w:p>
    <w:p>
      <w:pPr/>
      <w:r>
        <w:rPr>
          <w:b/>
          <w:bCs/>
        </w:rPr>
        <w:t xml:space="preserve">Description</w:t>
      </w:r>
    </w:p>
    <w:p>
      <w:pPr>
        <w:pPr/>
        <w:numPr>
          <w:ilvl w:val="0"/>
          <w:numId w:val="28"/>
        </w:numPr>
      </w:pPr>
      <w:r>
        <w:rPr/>
        <w:t xml:space="preserve">Description des plans de fixation mécanique par profilés,</w:t>
      </w:r>
    </w:p>
    <w:p>
      <w:pPr>
        <w:pPr/>
        <w:numPr>
          <w:ilvl w:val="0"/>
          <w:numId w:val="28"/>
        </w:numPr>
      </w:pPr>
      <w:r>
        <w:rPr/>
        <w:t xml:space="preserve">pour l’emploi dans les DROM, le cas échéant : produits visés, mode de fixation des isolants.</w:t>
      </w:r>
    </w:p>
    <w:p>
      <w:pPr>
        <w:ind w:left="2160" w:right="0"/>
      </w:pPr>
      <w:r>
        <w:rPr>
          <w:rStyle w:val="font_h3"/>
        </w:rPr>
        <w:t xml:space="preserve">5.1.1.3.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9"/>
        </w:numPr>
      </w:pPr>
      <w:r>
        <w:rPr/>
        <w:t xml:space="preserve">pour les produits de calage : préparation , durée pratique d’utilisation, mode d’application, consommations minimale et maximale; délai d’attente avant opération suivante ;</w:t>
      </w:r>
    </w:p>
    <w:p>
      <w:pPr>
        <w:pPr/>
        <w:numPr>
          <w:ilvl w:val="0"/>
          <w:numId w:val="29"/>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9"/>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25/09/2018</w:t>
      </w:r>
    </w:p>
    <w:p>
      <w:pPr/>
      <w:r>
        <w:rPr>
          <w:b/>
          <w:bCs/>
        </w:rPr>
        <w:t xml:space="preserve">Description</w:t>
      </w:r>
    </w:p>
    <w:p>
      <w:pPr/>
      <w:r>
        <w:rPr/>
        <w:t xml:space="preserve">Description précise de la mise en œuvre de l'enduit de base, notamment :</w:t>
      </w:r>
    </w:p>
    <w:p>
      <w:pPr>
        <w:pPr/>
        <w:numPr>
          <w:ilvl w:val="0"/>
          <w:numId w:val="30"/>
        </w:numPr>
      </w:pPr>
      <w:r>
        <w:rPr/>
        <w:t xml:space="preserve">préparation,  </w:t>
      </w:r>
    </w:p>
    <w:p>
      <w:pPr>
        <w:pPr/>
        <w:numPr>
          <w:ilvl w:val="0"/>
          <w:numId w:val="30"/>
        </w:numPr>
      </w:pPr>
      <w:r>
        <w:rPr/>
        <w:t xml:space="preserve">description du ou des mode(s) d’application, consommations minimale et maximale de produit, </w:t>
      </w:r>
    </w:p>
    <w:p>
      <w:pPr>
        <w:pPr/>
        <w:numPr>
          <w:ilvl w:val="0"/>
          <w:numId w:val="30"/>
        </w:numPr>
      </w:pPr>
      <w:r>
        <w:rPr/>
        <w:t xml:space="preserve">épaisseur minimale à l'état sec,</w:t>
      </w:r>
    </w:p>
    <w:p>
      <w:pPr>
        <w:pPr/>
        <w:numPr>
          <w:ilvl w:val="0"/>
          <w:numId w:val="30"/>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 minimale et maximale,</w:t>
      </w:r>
    </w:p>
    <w:p>
      <w:pPr>
        <w:pPr/>
        <w:numPr>
          <w:ilvl w:val="0"/>
          <w:numId w:val="31"/>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2"/>
        </w:numPr>
      </w:pPr>
      <w:r>
        <w:rPr/>
        <w:t xml:space="preserve">préparation (le cas échéant),</w:t>
      </w:r>
    </w:p>
    <w:p>
      <w:pPr>
        <w:pPr/>
        <w:numPr>
          <w:ilvl w:val="0"/>
          <w:numId w:val="32"/>
        </w:numPr>
      </w:pPr>
      <w:r>
        <w:rPr/>
        <w:t xml:space="preserve">mode d'application,</w:t>
      </w:r>
    </w:p>
    <w:p>
      <w:pPr>
        <w:pPr/>
        <w:numPr>
          <w:ilvl w:val="0"/>
          <w:numId w:val="32"/>
        </w:numPr>
      </w:pPr>
      <w:r>
        <w:rPr/>
        <w:t xml:space="preserve">consommations minimale et maximale,</w:t>
      </w:r>
    </w:p>
    <w:p>
      <w:pPr>
        <w:pPr/>
        <w:numPr>
          <w:ilvl w:val="0"/>
          <w:numId w:val="32"/>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25/09/2018</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6. Mise en oeuvre sur système d'isolation thermique extérieure existant</w:t>
      </w:r>
    </w:p>
    <w:p>
      <w:pPr/>
      <w:r>
        <w:rPr>
          <w:rStyle w:val="font_h1"/>
        </w:rPr>
        <w:t xml:space="preserve">7.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9. Résultats expérimentaux</w:t>
      </w:r>
    </w:p>
    <w:p>
      <w:pPr/>
      <w:r>
        <w:rPr/>
        <w:t xml:space="preserve">Validé par le Groupe Spécialisé le 04/12/2018</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3"/>
        </w:numPr>
      </w:pPr>
      <w:r>
        <w:rPr/>
        <w:t xml:space="preserve">Rapport associé à l’Évaluation Technique Européenne de l’ETICS, émis par l’Organisme d’Évaluation Technique.</w:t>
      </w:r>
    </w:p>
    <w:p>
      <w:pPr>
        <w:pPr/>
        <w:numPr>
          <w:ilvl w:val="0"/>
          <w:numId w:val="33"/>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4"/>
        </w:numPr>
      </w:pPr>
      <w:r>
        <w:rPr/>
        <w:t xml:space="preserve">Rapports d’essais d’évaluation des performances de l’ETICS et de ses composants, conformément au Guide d’Agrément Technique Européen n°004 (ETAG 004).</w:t>
      </w:r>
    </w:p>
    <w:p>
      <w:pPr>
        <w:pPr/>
        <w:numPr>
          <w:ilvl w:val="0"/>
          <w:numId w:val="34"/>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5"/>
        </w:numPr>
      </w:pPr>
      <w:r>
        <w:rPr/>
        <w:t xml:space="preserve">Dans le cas de fixation mécanique : calculs de résistance à l’action du vent en dépression et comparaison aux sollicitations dues au vent (Règles NV 65 et Eurocode 1).</w:t>
      </w:r>
    </w:p>
    <w:p>
      <w:pPr>
        <w:pPr/>
        <w:numPr>
          <w:ilvl w:val="0"/>
          <w:numId w:val="35"/>
        </w:numPr>
      </w:pPr>
      <w:r>
        <w:rPr/>
        <w:t xml:space="preserve">Justifications du comportement du système en zones sismiques.</w:t>
      </w:r>
    </w:p>
    <w:p>
      <w:pPr>
        <w:pPr/>
        <w:numPr>
          <w:ilvl w:val="0"/>
          <w:numId w:val="35"/>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5"/>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6"/>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6"/>
        </w:numPr>
      </w:pPr>
      <w:r>
        <w:rPr/>
        <w:t xml:space="preserve">Justifications démontrant l’absence de désordres dus à un potentiel risque de condensation dans le système (étude WUFI par exemple).</w:t>
      </w:r>
    </w:p>
    <w:p>
      <w:pPr>
        <w:pPr/>
        <w:numPr>
          <w:ilvl w:val="0"/>
          <w:numId w:val="36"/>
        </w:numPr>
      </w:pPr>
      <w:r>
        <w:rPr/>
        <w:t xml:space="preserve">Justifications du comportement du système en zones sismiques (cas de la zone 5).</w:t>
      </w:r>
    </w:p>
    <w:p>
      <w:pPr>
        <w:pPr/>
        <w:numPr>
          <w:ilvl w:val="0"/>
          <w:numId w:val="36"/>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13/02/2018</w:t>
      </w:r>
    </w:p>
    <w:p>
      <w:pPr/>
      <w:r>
        <w:rPr>
          <w:b/>
          <w:bCs/>
        </w:rPr>
        <w:t xml:space="preserve">Description</w:t>
      </w:r>
    </w:p>
    <w:p>
      <w:pPr/>
      <w:r>
        <w:rPr/>
        <w:t xml:space="preserve">Préciser :</w:t>
      </w:r>
    </w:p>
    <w:p>
      <w:pPr>
        <w:pPr/>
        <w:numPr>
          <w:ilvl w:val="0"/>
          <w:numId w:val="37"/>
        </w:numPr>
      </w:pPr>
      <w:r>
        <w:rPr/>
        <w:t xml:space="preserve">la date des premières applications du système,</w:t>
      </w:r>
    </w:p>
    <w:p>
      <w:pPr>
        <w:pPr/>
        <w:numPr>
          <w:ilvl w:val="0"/>
          <w:numId w:val="37"/>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8"/>
        </w:numPr>
      </w:pPr>
      <w:r>
        <w:rPr/>
        <w:t xml:space="preserve">La localisation exacte en vue de son examen.</w:t>
      </w:r>
    </w:p>
    <w:p>
      <w:pPr>
        <w:pPr/>
        <w:numPr>
          <w:ilvl w:val="0"/>
          <w:numId w:val="38"/>
        </w:numPr>
      </w:pPr>
      <w:r>
        <w:rPr/>
        <w:t xml:space="preserve">Le type de bâtiment (maison individuelle, immeuble collectif, ERP, etc.).</w:t>
      </w:r>
    </w:p>
    <w:p>
      <w:pPr>
        <w:pPr/>
        <w:numPr>
          <w:ilvl w:val="0"/>
          <w:numId w:val="38"/>
        </w:numPr>
      </w:pPr>
      <w:r>
        <w:rPr/>
        <w:t xml:space="preserve">La nature des travaux (travaux neufs ou rénovation).</w:t>
      </w:r>
    </w:p>
    <w:p>
      <w:pPr>
        <w:pPr/>
        <w:numPr>
          <w:ilvl w:val="0"/>
          <w:numId w:val="38"/>
        </w:numPr>
      </w:pPr>
      <w:r>
        <w:rPr/>
        <w:t xml:space="preserve">La période de mise en oeuvre.</w:t>
      </w:r>
    </w:p>
    <w:p>
      <w:pPr>
        <w:pPr/>
        <w:numPr>
          <w:ilvl w:val="0"/>
          <w:numId w:val="38"/>
        </w:numPr>
      </w:pPr>
      <w:r>
        <w:rPr/>
        <w:t xml:space="preserve">La surface traitée, en m</w:t>
      </w:r>
      <w:r>
        <w:rPr>
          <w:vertAlign w:val="superscript"/>
        </w:rPr>
        <w:t xml:space="preserve">2</w:t>
      </w:r>
      <w:r>
        <w:rPr/>
        <w:t xml:space="preserve"> de façade.</w:t>
      </w:r>
    </w:p>
    <w:p>
      <w:pPr>
        <w:pPr/>
        <w:numPr>
          <w:ilvl w:val="0"/>
          <w:numId w:val="38"/>
        </w:numPr>
      </w:pPr>
      <w:r>
        <w:rPr/>
        <w:t xml:space="preserve">L’épaisseur des panneaux isolants et le mode de pose des panneaux.</w:t>
      </w:r>
    </w:p>
    <w:p>
      <w:pPr>
        <w:pPr/>
        <w:numPr>
          <w:ilvl w:val="0"/>
          <w:numId w:val="38"/>
        </w:numPr>
      </w:pPr>
      <w:r>
        <w:rPr/>
        <w:t xml:space="preserve">Le produit de calage employé et le nom des fixations utilisées en cas de pose par fixation mécanique.</w:t>
      </w:r>
    </w:p>
    <w:p>
      <w:pPr>
        <w:pPr/>
        <w:numPr>
          <w:ilvl w:val="0"/>
          <w:numId w:val="38"/>
        </w:numPr>
      </w:pPr>
      <w:r>
        <w:rPr/>
        <w:t xml:space="preserve">Le revêtement de finition appliqué.</w:t>
      </w:r>
    </w:p>
    <w:p>
      <w:pPr>
        <w:pPr/>
        <w:numPr>
          <w:ilvl w:val="0"/>
          <w:numId w:val="38"/>
        </w:numPr>
      </w:pPr>
      <w:r>
        <w:rPr/>
        <w:t xml:space="preserve">L’identité et les coordonnées des acteurs (maître d’ouvrage, maître d’oeuvre, entreprise de pose, bureau de contrôle, bureau d’étude, etc.).</w:t>
      </w:r>
    </w:p>
    <w:p>
      <w:pPr>
        <w:pPr/>
        <w:numPr>
          <w:ilvl w:val="0"/>
          <w:numId w:val="38"/>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392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D6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6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5C1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A5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02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B4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67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B4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D2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CD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20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C1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A58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E0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865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CAA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1E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0B3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11F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5BA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AC1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31D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AEC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0AA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4B1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99CA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660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759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C03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2025-11-05T11:30:36+01:00</dcterms:created>
  <dcterms:modified xsi:type="dcterms:W3CDTF">2025-11-05T11:30:36+01:00</dcterms:modified>
</cp:coreProperties>
</file>

<file path=docProps/custom.xml><?xml version="1.0" encoding="utf-8"?>
<Properties xmlns="http://schemas.openxmlformats.org/officeDocument/2006/custom-properties" xmlns:vt="http://schemas.openxmlformats.org/officeDocument/2006/docPropsVTypes"/>
</file>