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ciment</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 :</w:t>
      </w:r>
    </w:p>
    <w:p>
      <w:pPr>
        <w:pPr/>
        <w:numPr>
          <w:ilvl w:val="0"/>
          <w:numId w:val="9"/>
        </w:numPr>
      </w:pPr>
      <w:r>
        <w:rPr/>
        <w:t xml:space="preserve">la classe mécanique de la chape suivant la norme NF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suivi de la Société détentrice du DTA</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"Cahier des Prescriptions Techniques d'Exécution des chapes fluides ciment" (e-cahier du CSTB 3774_V2). Indiquer à ce niveau les planchers chauffants qui sont visés.</w:t>
      </w:r>
    </w:p>
    <w:p>
      <w:pPr/>
      <w:r>
        <w:rPr>
          <w:b/>
          <w:bCs/>
        </w:rPr>
        <w:t xml:space="preserve">Justification</w:t>
      </w:r>
    </w:p>
    <w:p>
      <w:pPr>
        <w:pPr/>
        <w:numPr>
          <w:ilvl w:val="0"/>
          <w:numId w:val="10"/>
        </w:numPr>
      </w:pPr>
      <w:r>
        <w:rPr/>
        <w:t xml:space="preserve">rapport d'essais</w:t>
      </w:r>
    </w:p>
    <w:p>
      <w:pPr>
        <w:ind w:left="720" w:right="0"/>
      </w:pPr>
      <w:r>
        <w:rPr>
          <w:rStyle w:val="font_h2"/>
        </w:rPr>
        <w:t xml:space="preserve">2.2.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3. Materiaux</w:t>
      </w:r>
    </w:p>
    <w:p>
      <w:pPr>
        <w:ind w:left="720" w:right="0"/>
      </w:pPr>
      <w:r>
        <w:rPr>
          <w:rStyle w:val="font_h2"/>
        </w:rPr>
        <w:t xml:space="preserve">3.1. Mortier de chape</w:t>
      </w:r>
    </w:p>
    <w:p>
      <w:pPr>
        <w:ind w:left="1440" w:right="0"/>
      </w:pPr>
      <w:r>
        <w:rPr>
          <w:rStyle w:val="font_h3"/>
        </w:rPr>
        <w:t xml:space="preserve">3.1.1. Caractéristiques du mortier gâché</w:t>
      </w:r>
    </w:p>
    <w:p>
      <w:pPr>
        <w:ind w:left="2160" w:right="0"/>
      </w:pPr>
      <w:r>
        <w:rPr>
          <w:rStyle w:val="font_h3"/>
        </w:rPr>
        <w:t xml:space="preserve">3.1.1.1. Caractéristiques</w:t>
      </w:r>
    </w:p>
    <w:p>
      <w:pPr/>
      <w:r>
        <w:rPr/>
        <w:t xml:space="preserve">Validé par le Groupe Spécialisé le 03/12/2020</w:t>
      </w:r>
    </w:p>
    <w:p>
      <w:pPr/>
      <w:r>
        <w:rPr>
          <w:b/>
          <w:bCs/>
        </w:rPr>
        <w:t xml:space="preserve">Description</w:t>
      </w:r>
    </w:p>
    <w:p>
      <w:pPr/>
      <w:r>
        <w:rPr/>
        <w:t xml:space="preserve">Préciser :</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maintien de fluidité</w:t>
      </w:r>
    </w:p>
    <w:p>
      <w:pPr/>
      <w:r>
        <w:rPr>
          <w:b/>
          <w:bCs/>
        </w:rPr>
        <w:t xml:space="preserve">Justification</w:t>
      </w:r>
    </w:p>
    <w:p>
      <w:pPr/>
      <w:r>
        <w:rPr/>
        <w:t xml:space="preserve">Essais à réaliser dans les laboratoires du CSTB pour une même formule:</w:t>
      </w:r>
    </w:p>
    <w:p>
      <w:pPr>
        <w:pPr/>
        <w:numPr>
          <w:ilvl w:val="0"/>
          <w:numId w:val="12"/>
        </w:numPr>
      </w:pPr>
      <w:r>
        <w:rPr/>
        <w:t xml:space="preserve">Identification sable/ adjuvant</w:t>
      </w:r>
    </w:p>
    <w:p>
      <w:pPr>
        <w:pPr/>
        <w:numPr>
          <w:ilvl w:val="0"/>
          <w:numId w:val="13"/>
        </w:numPr>
      </w:pPr>
      <w:r>
        <w:rPr/>
        <w:t xml:space="preserve">Taux de cendres à 450°C et 900°C</w:t>
      </w:r>
    </w:p>
    <w:p>
      <w:pPr>
        <w:pPr/>
        <w:numPr>
          <w:ilvl w:val="0"/>
          <w:numId w:val="13"/>
        </w:numPr>
      </w:pPr>
      <w:r>
        <w:rPr/>
        <w:t xml:space="preserve">Granulométrie du sable</w:t>
      </w:r>
    </w:p>
    <w:p>
      <w:pPr>
        <w:pPr/>
        <w:numPr>
          <w:ilvl w:val="0"/>
          <w:numId w:val="14"/>
        </w:numPr>
      </w:pPr>
      <w:r>
        <w:rPr/>
        <w:t xml:space="preserve">Identification de la pâte</w:t>
      </w:r>
    </w:p>
    <w:p>
      <w:pPr>
        <w:pPr/>
        <w:numPr>
          <w:ilvl w:val="1"/>
          <w:numId w:val="14"/>
        </w:numPr>
      </w:pPr>
      <w:r>
        <w:rPr/>
        <w:t xml:space="preserve">Étalement de la pâte à X% (X% correspondant au centre de l’étalement visé dans le Dossier Technique)</w:t>
      </w:r>
    </w:p>
    <w:p>
      <w:pPr>
        <w:pPr/>
        <w:numPr>
          <w:ilvl w:val="1"/>
          <w:numId w:val="14"/>
        </w:numPr>
      </w:pPr>
      <w:r>
        <w:rPr/>
        <w:t xml:space="preserve">Maintien de la fluidité</w:t>
      </w:r>
    </w:p>
    <w:p>
      <w:pPr>
        <w:pPr/>
        <w:numPr>
          <w:ilvl w:val="1"/>
          <w:numId w:val="14"/>
        </w:numPr>
      </w:pPr>
      <w:r>
        <w:rPr/>
        <w:t xml:space="preserve">Masse volumique à X%</w:t>
      </w:r>
    </w:p>
    <w:p>
      <w:pPr>
        <w:pPr/>
        <w:numPr>
          <w:ilvl w:val="1"/>
          <w:numId w:val="14"/>
        </w:numPr>
      </w:pPr>
      <w:r>
        <w:rPr/>
        <w:t xml:space="preserve">Étalement de la pâte à (X+a)% ((X+a)% correspondant à la borne haute de l’étalement visé dans le Dossier Technique)</w:t>
      </w:r>
    </w:p>
    <w:p>
      <w:pPr>
        <w:pPr/>
        <w:numPr>
          <w:ilvl w:val="1"/>
          <w:numId w:val="14"/>
        </w:numPr>
      </w:pPr>
      <w:r>
        <w:rPr/>
        <w:t xml:space="preserve">Temps de prise Vicat à X%</w:t>
      </w:r>
    </w:p>
    <w:p>
      <w:pPr>
        <w:pPr/>
        <w:numPr>
          <w:ilvl w:val="1"/>
          <w:numId w:val="14"/>
        </w:numPr>
      </w:pPr>
      <w:r>
        <w:rPr/>
        <w:t xml:space="preserve">Mesure de l'air occlus</w:t>
      </w:r>
    </w:p>
    <w:p>
      <w:pPr>
        <w:pPr/>
        <w:numPr>
          <w:ilvl w:val="1"/>
          <w:numId w:val="14"/>
        </w:numPr>
      </w:pPr>
      <w:r>
        <w:rPr/>
        <w:t xml:space="preserve">Mesure Retrait au Jeune Age</w:t>
      </w:r>
    </w:p>
    <w:p>
      <w:pPr>
        <w:pPr/>
        <w:numPr>
          <w:ilvl w:val="0"/>
          <w:numId w:val="14"/>
        </w:numPr>
      </w:pPr>
      <w:r>
        <w:rPr/>
        <w:t xml:space="preserve">Caractérisation du produit fini</w:t>
      </w:r>
    </w:p>
    <w:p>
      <w:pPr>
        <w:pPr/>
        <w:numPr>
          <w:ilvl w:val="1"/>
          <w:numId w:val="14"/>
        </w:numPr>
      </w:pPr>
      <w:r>
        <w:rPr/>
        <w:t xml:space="preserve">Flexion-Compression à X% à 28j / conditionnement laboratoire</w:t>
      </w:r>
    </w:p>
    <w:p>
      <w:pPr>
        <w:pPr/>
        <w:numPr>
          <w:ilvl w:val="1"/>
          <w:numId w:val="14"/>
        </w:numPr>
      </w:pPr>
      <w:r>
        <w:rPr/>
        <w:t xml:space="preserve">Flexion-Compression à X% à 7 j et 28j / conditionnement CEN</w:t>
      </w:r>
    </w:p>
    <w:p>
      <w:pPr>
        <w:pPr/>
        <w:numPr>
          <w:ilvl w:val="1"/>
          <w:numId w:val="14"/>
        </w:numPr>
      </w:pPr>
      <w:r>
        <w:rPr/>
        <w:t xml:space="preserve">Flexion- Compression à (X+a) % à 28j / conditionnement CEN</w:t>
      </w:r>
    </w:p>
    <w:p>
      <w:pPr>
        <w:pPr/>
        <w:numPr>
          <w:ilvl w:val="1"/>
          <w:numId w:val="14"/>
        </w:numPr>
      </w:pPr>
      <w:r>
        <w:rPr/>
        <w:t xml:space="preserve">Variation dimensionnelle à X%</w:t>
      </w:r>
    </w:p>
    <w:p>
      <w:pPr>
        <w:pPr/>
        <w:numPr>
          <w:ilvl w:val="1"/>
          <w:numId w:val="14"/>
        </w:numPr>
      </w:pPr>
      <w:r>
        <w:rPr/>
        <w:t xml:space="preserve">Cinétique de séchage</w:t>
      </w:r>
    </w:p>
    <w:p>
      <w:pPr>
        <w:pPr/>
        <w:numPr>
          <w:ilvl w:val="0"/>
          <w:numId w:val="14"/>
        </w:numPr>
      </w:pPr>
      <w:r>
        <w:rPr/>
        <w:t xml:space="preserve">Caractérisation de la surface poncée</w:t>
      </w:r>
    </w:p>
    <w:p>
      <w:pPr>
        <w:pPr/>
        <w:numPr>
          <w:ilvl w:val="1"/>
          <w:numId w:val="14"/>
        </w:numPr>
      </w:pPr>
      <w:r>
        <w:rPr/>
        <w:t xml:space="preserve">Cohésion de la surface poncée à X%</w:t>
      </w:r>
    </w:p>
    <w:p>
      <w:pPr>
        <w:pPr/>
        <w:numPr>
          <w:ilvl w:val="1"/>
          <w:numId w:val="14"/>
        </w:numPr>
      </w:pPr>
      <w:r>
        <w:rPr/>
        <w:t xml:space="preserve">Porosité de la surface poncée à X%</w:t>
      </w:r>
    </w:p>
    <w:p>
      <w:pPr>
        <w:pPr/>
        <w:numPr>
          <w:ilvl w:val="0"/>
          <w:numId w:val="14"/>
        </w:numPr>
      </w:pPr>
      <w:r>
        <w:rPr/>
        <w:t xml:space="preserve">Autres caractéristiques </w:t>
      </w:r>
    </w:p>
    <w:p>
      <w:pPr>
        <w:pPr/>
        <w:numPr>
          <w:ilvl w:val="0"/>
          <w:numId w:val="15"/>
        </w:numPr>
      </w:pPr>
      <w:r>
        <w:rPr/>
        <w:t xml:space="preserve">Résultats d’essais de cohésion de surface in situ,</w:t>
      </w:r>
    </w:p>
    <w:p>
      <w:pPr>
        <w:pPr/>
        <w:numPr>
          <w:ilvl w:val="0"/>
          <w:numId w:val="15"/>
        </w:numPr>
      </w:pPr>
      <w:r>
        <w:rPr/>
        <w:t xml:space="preserve">Résultats d’essais de tuilage,</w:t>
      </w:r>
    </w:p>
    <w:p>
      <w:pPr>
        <w:pPr/>
        <w:numPr>
          <w:ilvl w:val="0"/>
          <w:numId w:val="15"/>
        </w:numPr>
      </w:pPr>
      <w:r>
        <w:rPr/>
        <w:t xml:space="preserve">Résultat d’essai de blocage thermique,</w:t>
      </w:r>
    </w:p>
    <w:p>
      <w:pPr>
        <w:pPr/>
        <w:numPr>
          <w:ilvl w:val="0"/>
          <w:numId w:val="15"/>
        </w:numPr>
      </w:pPr>
      <w:r>
        <w:rPr/>
        <w:t xml:space="preserve">Résultat d’essai de flexion 3 points sur maquettes fibrées,</w:t>
      </w:r>
    </w:p>
    <w:p>
      <w:pPr>
        <w:pPr/>
        <w:numPr>
          <w:ilvl w:val="0"/>
          <w:numId w:val="15"/>
        </w:numPr>
      </w:pPr>
      <w:r>
        <w:rPr/>
        <w:t xml:space="preserve">Mesure de masses volumiques,</w:t>
      </w:r>
    </w:p>
    <w:p>
      <w:pPr>
        <w:pPr/>
        <w:numPr>
          <w:ilvl w:val="0"/>
          <w:numId w:val="15"/>
        </w:numPr>
      </w:pPr>
      <w:r>
        <w:rPr/>
        <w:t xml:space="preserve">Cas particulier des procédés revendiquant l’absence de pellicule de surface : le Groupe a émis une jurisprudence concernant la fonction sans pellicule de surface des chapes fluides à base de ciment. Dorénavant, les essais de cohésion de surface devront être réalisés sur surface poncée et non poncée et les valeurs devront être strictement supérieures à la contrainte attendue au regard du domaine d’emploi revendiqué avec un écart inférieur à 30% entre les valeurs poncées et non poncées.  </w:t>
      </w:r>
    </w:p>
    <w:p>
      <w:pPr>
        <w:pPr/>
        <w:numPr>
          <w:ilvl w:val="0"/>
          <w:numId w:val="15"/>
        </w:numPr>
      </w:pPr>
      <w:r>
        <w:rPr/>
        <w:t xml:space="preserve">autres essais suivant les spécificités et le domaine d’emploi revendiqué.</w:t>
      </w:r>
    </w:p>
    <w:p>
      <w:pPr>
        <w:ind w:left="2160" w:right="0"/>
      </w:pPr>
      <w:r>
        <w:rPr>
          <w:rStyle w:val="font_h3"/>
        </w:rPr>
        <w:t xml:space="preserve">3.1.1.2. Etalement</w:t>
      </w:r>
    </w:p>
    <w:p>
      <w:pPr>
        <w:ind w:left="1440" w:right="0"/>
      </w:pPr>
      <w:r>
        <w:rPr>
          <w:rStyle w:val="font_h3"/>
        </w:rPr>
        <w:t xml:space="preserve">3.1.2. Caractéristiques du mortier durci</w:t>
      </w:r>
    </w:p>
    <w:p>
      <w:pPr/>
      <w:r>
        <w:rPr/>
        <w:t xml:space="preserve">Validé par le Groupe Spécialisé le 06/07/2021</w:t>
      </w:r>
    </w:p>
    <w:p>
      <w:pPr/>
      <w:r>
        <w:rPr>
          <w:b/>
          <w:bCs/>
        </w:rPr>
        <w:t xml:space="preserve">Description</w:t>
      </w:r>
    </w:p>
    <w:p>
      <w:pPr/>
      <w:r>
        <w:rPr/>
        <w:t xml:space="preserve">Indiquer les caractéristiques de la chape suivant la EN 13813 avec notamment :</w:t>
      </w:r>
    </w:p>
    <w:p>
      <w:pPr>
        <w:pPr/>
        <w:numPr>
          <w:ilvl w:val="0"/>
          <w:numId w:val="16"/>
        </w:numPr>
      </w:pPr>
      <w:r>
        <w:rPr/>
        <w:t xml:space="preserve">les performances mécaniques</w:t>
      </w:r>
    </w:p>
    <w:p>
      <w:pPr>
        <w:pPr/>
        <w:numPr>
          <w:ilvl w:val="0"/>
          <w:numId w:val="16"/>
        </w:numPr>
      </w:pPr>
      <w:r>
        <w:rPr/>
        <w:t xml:space="preserve">la masse volumique sèche</w:t>
      </w:r>
    </w:p>
    <w:p>
      <w:pPr>
        <w:pPr/>
        <w:numPr>
          <w:ilvl w:val="0"/>
          <w:numId w:val="16"/>
        </w:numPr>
      </w:pPr>
      <w:r>
        <w:rPr/>
        <w:t xml:space="preserve">le classement de réaction au feu</w:t>
      </w:r>
    </w:p>
    <w:p>
      <w:pPr>
        <w:pPr/>
        <w:numPr>
          <w:ilvl w:val="0"/>
          <w:numId w:val="16"/>
        </w:numPr>
      </w:pPr>
      <w:r>
        <w:rPr/>
        <w:t xml:space="preserve">la valeur du retrait revendiqué</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7"/>
        </w:numPr>
      </w:pPr>
      <w:r>
        <w:rPr/>
        <w:t xml:space="preserve">Prévention vis à vis des risques: lettre d'engagement indiquant que le produit contient moins de 1% en masse ou en volume de composants organiques (pour la règlementation incendie).</w:t>
      </w:r>
    </w:p>
    <w:p>
      <w:pPr>
        <w:pPr/>
        <w:numPr>
          <w:ilvl w:val="0"/>
          <w:numId w:val="17"/>
        </w:numPr>
      </w:pPr>
      <w:r>
        <w:rPr/>
        <w:t xml:space="preserve">Prévention vis à vis des aspects sanitaires : la Fiche de Données de Sécurité (FDS)</w:t>
      </w:r>
    </w:p>
    <w:p>
      <w:pPr>
        <w:pPr/>
        <w:numPr>
          <w:ilvl w:val="0"/>
          <w:numId w:val="17"/>
        </w:numPr>
      </w:pPr>
      <w:r>
        <w:rPr/>
        <w:t xml:space="preserve">Autres lois: Déclaration De Performances / Fiche de Données environnementales (DE) le cas échéant</w:t>
      </w:r>
    </w:p>
    <w:p>
      <w:pPr>
        <w:pPr/>
        <w:numPr>
          <w:ilvl w:val="0"/>
          <w:numId w:val="17"/>
        </w:numPr>
      </w:pPr>
      <w:r>
        <w:rPr/>
        <w:t xml:space="preserve">Validation des formules pour chacune des unités de production et contrat d'agrément par unité de production signé des 2 parties titulaires/fabricants</w:t>
      </w:r>
    </w:p>
    <w:p>
      <w:pPr>
        <w:pPr/>
        <w:numPr>
          <w:ilvl w:val="0"/>
          <w:numId w:val="17"/>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1440" w:right="0"/>
      </w:pPr>
      <w:r>
        <w:rPr>
          <w:rStyle w:val="font_h3"/>
        </w:rPr>
        <w:t xml:space="preserve">3.1.3.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8"/>
        </w:numPr>
      </w:pPr>
      <w:r>
        <w:rPr/>
        <w:t xml:space="preserve">Liste des unités de production agréées</w:t>
      </w:r>
    </w:p>
    <w:p>
      <w:pPr>
        <w:pPr/>
        <w:numPr>
          <w:ilvl w:val="0"/>
          <w:numId w:val="18"/>
        </w:numPr>
      </w:pPr>
      <w:r>
        <w:rPr/>
        <w:t xml:space="preserve">Contrat d'engagement titulaire/CSTB</w:t>
      </w:r>
    </w:p>
    <w:p>
      <w:pPr>
        <w:pPr/>
        <w:numPr>
          <w:ilvl w:val="0"/>
          <w:numId w:val="18"/>
        </w:numPr>
      </w:pPr>
      <w:r>
        <w:rPr/>
        <w:t xml:space="preserve">Description des moyens d’identification sur chantiers : Etiquette de chantier</w:t>
      </w:r>
    </w:p>
    <w:p>
      <w:pPr>
        <w:pPr/>
        <w:numPr>
          <w:ilvl w:val="0"/>
          <w:numId w:val="18"/>
        </w:numPr>
      </w:pPr>
      <w:r>
        <w:rPr/>
        <w:t xml:space="preserve">Moyens de traçabilité (proposition suivant le demandeur)</w:t>
      </w:r>
    </w:p>
    <w:p>
      <w:pPr>
        <w:ind w:left="720" w:right="0"/>
      </w:pPr>
      <w:r>
        <w:rPr>
          <w:rStyle w:val="font_h2"/>
        </w:rPr>
        <w:t xml:space="preserve">3.2.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720" w:right="0"/>
      </w:pPr>
      <w:r>
        <w:rPr>
          <w:rStyle w:val="font_h2"/>
        </w:rPr>
        <w:t xml:space="preserve">3.3. Ciment</w:t>
      </w:r>
    </w:p>
    <w:p>
      <w:pPr>
        <w:ind w:left="720" w:right="0"/>
      </w:pPr>
      <w:r>
        <w:rPr>
          <w:rStyle w:val="font_h2"/>
        </w:rPr>
        <w:t xml:space="preserve">3.4. Fibres</w:t>
      </w:r>
    </w:p>
    <w:p>
      <w:pPr/>
      <w:r>
        <w:rPr/>
        <w:t xml:space="preserve">Validé par le Groupe Spécialisé le 02/10/2018</w:t>
      </w:r>
    </w:p>
    <w:p>
      <w:pPr/>
      <w:r>
        <w:rPr>
          <w:b/>
          <w:bCs/>
        </w:rPr>
        <w:t xml:space="preserve">Description</w:t>
      </w:r>
    </w:p>
    <w:p>
      <w:pPr/>
      <w:r>
        <w:rPr/>
        <w:t xml:space="preserve">Préciser les caractéristiques des fibres employées (micro-synthétiques, métalliques et/ou macro-synthétiques) et leur dosage.</w:t>
      </w:r>
    </w:p>
    <w:p>
      <w:pPr>
        <w:ind w:left="720" w:right="0"/>
      </w:pPr>
      <w:r>
        <w:rPr>
          <w:rStyle w:val="font_h2"/>
        </w:rPr>
        <w:t xml:space="preserve">3.5. Produit de cure</w:t>
      </w:r>
    </w:p>
    <w:p>
      <w:pPr>
        <w:ind w:left="720" w:right="0"/>
      </w:pPr>
      <w:r>
        <w:rPr>
          <w:rStyle w:val="font_h2"/>
        </w:rPr>
        <w:t xml:space="preserve">3.6. Produits associés</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désolidarisé.Par exemple :</w:t>
      </w:r>
    </w:p>
    <w:p>
      <w:pPr>
        <w:pPr/>
        <w:numPr>
          <w:ilvl w:val="0"/>
          <w:numId w:val="19"/>
        </w:numPr>
      </w:pPr>
      <w:r>
        <w:rPr/>
        <w:t xml:space="preserve">les couches de désolidarisation envisagées</w:t>
      </w:r>
    </w:p>
    <w:p>
      <w:pPr>
        <w:pPr/>
        <w:numPr>
          <w:ilvl w:val="0"/>
          <w:numId w:val="19"/>
        </w:numPr>
      </w:pPr>
      <w:r>
        <w:rPr/>
        <w:t xml:space="preserve">les sous-couches isolantes</w:t>
      </w:r>
    </w:p>
    <w:p>
      <w:pPr>
        <w:pPr/>
        <w:numPr>
          <w:ilvl w:val="0"/>
          <w:numId w:val="19"/>
        </w:numPr>
      </w:pPr>
      <w:r>
        <w:rPr/>
        <w:t xml:space="preserve">les primaires</w:t>
      </w:r>
    </w:p>
    <w:p>
      <w:pPr>
        <w:pPr/>
        <w:numPr>
          <w:ilvl w:val="0"/>
          <w:numId w:val="19"/>
        </w:numPr>
      </w:pPr>
      <w:r>
        <w:rPr/>
        <w:t xml:space="preserve">les bandes périphériques</w:t>
      </w:r>
    </w:p>
    <w:p>
      <w:pPr>
        <w:pPr/>
        <w:numPr>
          <w:ilvl w:val="0"/>
          <w:numId w:val="19"/>
        </w:numPr>
      </w:pPr>
      <w:r>
        <w:rPr/>
        <w:t xml:space="preserve">les ravoirages</w:t>
      </w:r>
    </w:p>
    <w:p>
      <w:pPr>
        <w:pPr/>
        <w:numPr>
          <w:ilvl w:val="0"/>
          <w:numId w:val="19"/>
        </w:numPr>
      </w:pPr>
      <w:r>
        <w:rPr/>
        <w:t xml:space="preserve">tout autre produit associé à la mise en œuvre de la chape et décrit dans le dossier.</w:t>
      </w:r>
    </w:p>
    <w:p>
      <w:pPr/>
      <w:r>
        <w:rPr>
          <w:rStyle w:val="font_h1"/>
        </w:rPr>
        <w:t xml:space="preserve">4. Fabrication et contrôle</w:t>
      </w:r>
    </w:p>
    <w:p>
      <w:pPr>
        <w:ind w:left="720" w:right="0"/>
      </w:pPr>
      <w:r>
        <w:rPr>
          <w:rStyle w:val="font_h2"/>
        </w:rPr>
        <w:t xml:space="preserve">4.1. Centre de fabrication</w:t>
      </w:r>
    </w:p>
    <w:p>
      <w:pPr>
        <w:ind w:left="1440" w:right="0"/>
      </w:pPr>
      <w:r>
        <w:rPr>
          <w:rStyle w:val="font_h3"/>
        </w:rPr>
        <w:t xml:space="preserve">4.1.1. Agrément du centre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1440" w:right="0"/>
      </w:pPr>
      <w:r>
        <w:rPr>
          <w:rStyle w:val="font_h3"/>
        </w:rPr>
        <w:t xml:space="preserve">4.1.2. Changement de matière première</w:t>
      </w:r>
    </w:p>
    <w:p>
      <w:pPr/>
      <w:r>
        <w:rPr/>
        <w:t xml:space="preserve">Validé par le Groupe Spécialisé le 02/10/2018</w:t>
      </w:r>
    </w:p>
    <w:p>
      <w:pPr/>
      <w:r>
        <w:rPr>
          <w:b/>
          <w:bCs/>
        </w:rPr>
        <w:t xml:space="preserve">Description</w:t>
      </w:r>
    </w:p>
    <w:p>
      <w:pPr/>
      <w:r>
        <w:rPr/>
        <w:t xml:space="preserve">Préciser la procédure proposée en cas de changement de matières premières.</w:t>
      </w:r>
    </w:p>
    <w:p>
      <w:pPr>
        <w:ind w:left="1440" w:right="0"/>
      </w:pPr>
      <w:r>
        <w:rPr>
          <w:rStyle w:val="font_h3"/>
        </w:rPr>
        <w:t xml:space="preserve">4.1.3. Visite de la centrale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productions et assurer son suivi.</w:t>
      </w:r>
    </w:p>
    <w:p>
      <w:pPr>
        <w:ind w:left="1440" w:right="0"/>
      </w:pPr>
      <w:r>
        <w:rPr>
          <w:rStyle w:val="font_h3"/>
        </w:rPr>
        <w:t xml:space="preserve">4.1.4. Validation de formule</w:t>
      </w:r>
    </w:p>
    <w:p>
      <w:pPr/>
      <w:r>
        <w:rPr/>
        <w:t xml:space="preserve">Validé par le Groupe Spécialisé le 21/03/2023</w:t>
      </w:r>
    </w:p>
    <w:p>
      <w:pPr/>
      <w:r>
        <w:rPr>
          <w:b/>
          <w:bCs/>
        </w:rPr>
        <w:t xml:space="preserve">Description</w:t>
      </w:r>
    </w:p>
    <w:p>
      <w:pPr/>
      <w:r>
        <w:rPr/>
        <w:t xml:space="preserve">Pour les chapes fluides à base de ciment, présentant la caractéristique sans pellicule de surface, un essai de cohésion de surface sur chape non poncée devra être effectué dans le cadre des validations de formules de chaque nouvelle unité de production ajoutée. Ceci sera intégré dans le contrat d’engagement TITULAIRE/CSTB.</w:t>
      </w:r>
    </w:p>
    <w:p>
      <w:pPr/>
      <w:r>
        <w:rPr>
          <w:b/>
          <w:bCs/>
        </w:rPr>
        <w:t xml:space="preserve">Justification</w:t>
      </w:r>
    </w:p>
    <w:p>
      <w:pPr/>
      <w:r>
        <w:rPr/>
        <w:t xml:space="preserve">Essai de cohésion de surface sur chape non poncée à chaque nouvelle centrale / nouvelle formule</w:t>
      </w:r>
    </w:p>
    <w:p>
      <w:pPr/>
      <w:r>
        <w:rPr>
          <w:b/>
          <w:bCs/>
        </w:rPr>
        <w:t xml:space="preserve">Critères d'évaluation</w:t>
      </w:r>
    </w:p>
    <w:p>
      <w:pPr/>
      <w:r>
        <w:rPr/>
        <w:t xml:space="preserve">conformité au référentiel QB 46</w:t>
      </w:r>
    </w:p>
    <w:p>
      <w:pPr>
        <w:ind w:left="720" w:right="0"/>
      </w:pPr>
      <w:r>
        <w:rPr>
          <w:rStyle w:val="font_h2"/>
        </w:rPr>
        <w:t xml:space="preserve">4.3. Fabrication du mortier</w:t>
      </w:r>
    </w:p>
    <w:p>
      <w:pPr>
        <w:ind w:left="1440" w:right="0"/>
      </w:pPr>
      <w:r>
        <w:rPr>
          <w:rStyle w:val="font_h3"/>
        </w:rPr>
        <w:t xml:space="preserve">4.3.1. Généralités</w:t>
      </w:r>
    </w:p>
    <w:p>
      <w:pPr/>
      <w:r>
        <w:rPr/>
        <w:t xml:space="preserve">Validé par le Groupe Spécialisé le 15/10/2020</w:t>
      </w:r>
    </w:p>
    <w:p>
      <w:pPr/>
      <w:r>
        <w:rPr>
          <w:b/>
          <w:bCs/>
        </w:rPr>
        <w:t xml:space="preserve">Description</w:t>
      </w:r>
    </w:p>
    <w:p>
      <w:pPr/>
      <w:r>
        <w:rPr/>
        <w:t xml:space="preserve">Indiquer le mode de distribution.Décrire l'ordre d'incorporation des matériaux ainsi que le mode de malaxage.Préciser les ajouts éventuels au moment de la fabrication et dans quel cas.L'étalement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20"/>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20"/>
        </w:numPr>
      </w:pPr>
      <w:r>
        <w:rPr/>
        <w:t xml:space="preserve">Il convient de mettre en place un module de formation spécifique décrivant les 2 modes de fabrication lors de la formation des applicateurs.</w:t>
      </w:r>
    </w:p>
    <w:p>
      <w:pPr>
        <w:pPr/>
        <w:numPr>
          <w:ilvl w:val="0"/>
          <w:numId w:val="20"/>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20"/>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21"/>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21"/>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 </w:t>
      </w:r>
    </w:p>
    <w:p>
      <w:pPr>
        <w:pPr/>
        <w:numPr>
          <w:ilvl w:val="0"/>
          <w:numId w:val="21"/>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4.3.2.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l'étalement).La fluidité peut être ajustée conformément au cahier des charges de la formule propre à la centrale par ajout d'eau si nécessaire. Décrire la procédure pour l'ajout d'eau autorisé.</w:t>
      </w:r>
    </w:p>
    <w:p>
      <w:pPr>
        <w:ind w:left="1440" w:right="0"/>
      </w:pPr>
      <w:r>
        <w:rPr>
          <w:rStyle w:val="font_h3"/>
        </w:rPr>
        <w:t xml:space="preserve">4.2.3. Cas des camions mobiles</w:t>
      </w:r>
    </w:p>
    <w:p>
      <w:pPr>
        <w:ind w:left="720" w:right="0"/>
      </w:pPr>
      <w:r>
        <w:rPr>
          <w:rStyle w:val="font_h2"/>
        </w:rPr>
        <w:t xml:space="preserve">4.4. Contrôles</w:t>
      </w:r>
    </w:p>
    <w:p>
      <w:pPr>
        <w:ind w:left="1440" w:right="0"/>
      </w:pPr>
      <w:r>
        <w:rPr>
          <w:rStyle w:val="font_h3"/>
        </w:rPr>
        <w:t xml:space="preserve">4.3.1. Nature des contrôles qualité</w:t>
      </w:r>
    </w:p>
    <w:p>
      <w:pPr>
        <w:ind w:left="2160" w:right="0"/>
      </w:pPr>
      <w:r>
        <w:rPr>
          <w:rStyle w:val="font_h3"/>
        </w:rPr>
        <w:t xml:space="preserve">4.3.1.1. Nature des contrôles qualité</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2"/>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2"/>
        </w:numPr>
      </w:pPr>
      <w:r>
        <w:rPr/>
        <w:t xml:space="preserve">Pour les chapes fabriquées en usine :prélèvement mensuel pour flexion-compression et contrôle du retrait suivant spécificités de la chape.</w:t>
      </w:r>
    </w:p>
    <w:p>
      <w:pPr>
        <w:pPr/>
        <w:numPr>
          <w:ilvl w:val="0"/>
          <w:numId w:val="22"/>
        </w:numPr>
      </w:pPr>
      <w:r>
        <w:rPr/>
        <w:t xml:space="preserve">Visite d’une centrale de fabrication, du laboratoire d’essais de suivi.</w:t>
      </w:r>
    </w:p>
    <w:p>
      <w:pPr>
        <w:ind w:left="2160" w:right="0"/>
      </w:pPr>
      <w:r>
        <w:rPr>
          <w:rStyle w:val="font_h3"/>
        </w:rPr>
        <w:t xml:space="preserve">4.3.1.2. Exigence contrôle qualité et certification QB46</w:t>
      </w:r>
    </w:p>
    <w:p>
      <w:pPr/>
      <w:r>
        <w:rPr>
          <w:rStyle w:val="font_h1"/>
        </w:rPr>
        <w:t xml:space="preserve">5. Mise en oeuvre de la chape fluide</w:t>
      </w:r>
    </w:p>
    <w:p>
      <w:pPr>
        <w:ind w:left="720" w:right="0"/>
      </w:pPr>
      <w:r>
        <w:rPr>
          <w:rStyle w:val="font_h2"/>
        </w:rPr>
        <w:t xml:space="preserve">5.1. Généralités et choix du type de chape</w:t>
      </w:r>
    </w:p>
    <w:p>
      <w:pPr>
        <w:ind w:left="1440" w:right="0"/>
      </w:pPr>
      <w:r>
        <w:rPr>
          <w:rStyle w:val="font_h3"/>
        </w:rPr>
        <w:t xml:space="preserve">5.1.1. Généralités</w:t>
      </w:r>
    </w:p>
    <w:p>
      <w:pPr/>
      <w:r>
        <w:rPr/>
        <w:t xml:space="preserve">Validé par le Groupe Spécialisé le 02/10/2018</w:t>
      </w:r>
    </w:p>
    <w:p>
      <w:pPr/>
      <w:r>
        <w:rPr>
          <w:b/>
          <w:bCs/>
        </w:rPr>
        <w:t xml:space="preserve">Description</w:t>
      </w:r>
    </w:p>
    <w:p>
      <w:pPr/>
      <w:r>
        <w:rPr/>
        <w:t xml:space="preserve">D'une manière générale, on se reportera au "Cahier des Prescriptions Techniques d'Exécution des chapes fluides à base de ciment" (e-cahier du CSTB - Cahier 3774_V2) qui précise :</w:t>
      </w:r>
    </w:p>
    <w:p>
      <w:pPr>
        <w:pPr/>
        <w:numPr>
          <w:ilvl w:val="0"/>
          <w:numId w:val="23"/>
        </w:numPr>
      </w:pPr>
      <w:r>
        <w:rPr/>
        <w:t xml:space="preserve">les conditions préalables à la pose</w:t>
      </w:r>
    </w:p>
    <w:p>
      <w:pPr>
        <w:pPr/>
        <w:numPr>
          <w:ilvl w:val="0"/>
          <w:numId w:val="23"/>
        </w:numPr>
      </w:pPr>
      <w:r>
        <w:rPr/>
        <w:t xml:space="preserve">les travaux préliminaires au coulage</w:t>
      </w:r>
    </w:p>
    <w:p>
      <w:pPr>
        <w:pPr/>
        <w:numPr>
          <w:ilvl w:val="0"/>
          <w:numId w:val="23"/>
        </w:numPr>
      </w:pPr>
      <w:r>
        <w:rPr/>
        <w:t xml:space="preserve">le coulage proprement dit, dans le cas de planchers chauffants ou non</w:t>
      </w:r>
    </w:p>
    <w:p>
      <w:pPr/>
      <w:r>
        <w:rPr/>
        <w:t xml:space="preserve">Le choix du type de chape fibrée ou non sera décrit.</w:t>
      </w:r>
    </w:p>
    <w:p>
      <w:pPr>
        <w:ind w:left="1440" w:right="0"/>
      </w:pPr>
      <w:r>
        <w:rPr>
          <w:rStyle w:val="font_h3"/>
        </w:rPr>
        <w:t xml:space="preserve">5.1.2. Cas des chapes fluides sans pellicule de surface</w:t>
      </w:r>
    </w:p>
    <w:p>
      <w:pPr>
        <w:ind w:left="720" w:right="0"/>
      </w:pPr>
      <w:r>
        <w:rPr>
          <w:rStyle w:val="font_h2"/>
        </w:rPr>
        <w:t xml:space="preserve">5.2. Travaux préliminaires</w:t>
      </w:r>
    </w:p>
    <w:p>
      <w:pPr/>
      <w:r>
        <w:rPr/>
        <w:t xml:space="preserve">Validé par le Groupe Spécialisé le 02/10/2018</w:t>
      </w:r>
    </w:p>
    <w:p>
      <w:pPr/>
      <w:r>
        <w:rPr>
          <w:b/>
          <w:bCs/>
        </w:rPr>
        <w:t xml:space="preserve">Description</w:t>
      </w:r>
    </w:p>
    <w:p>
      <w:pPr/>
      <w:r>
        <w:rPr/>
        <w:t xml:space="preserve">Ils sont réalisés conformément au "Cahier des Prescriptions Techniques d'Exécution des chapes fluides à base de ciment" (e-cahier du CSTB - cahier n° 3774_V2) ou suivant les indications plus spécifiques à préciser.</w:t>
      </w:r>
    </w:p>
    <w:p>
      <w:pPr>
        <w:ind w:left="720" w:right="0"/>
      </w:pPr>
      <w:r>
        <w:rPr>
          <w:rStyle w:val="font_h2"/>
        </w:rPr>
        <w:t xml:space="preserve">5.3. Coulage de la chape</w:t>
      </w:r>
    </w:p>
    <w:p>
      <w:pPr/>
      <w:r>
        <w:rPr/>
        <w:t xml:space="preserve">Validé par le Groupe Spécialisé le 24/06/2021</w:t>
      </w:r>
    </w:p>
    <w:p>
      <w:pPr/>
      <w:r>
        <w:rPr>
          <w:b/>
          <w:bCs/>
        </w:rPr>
        <w:t xml:space="preserve">Description</w:t>
      </w:r>
    </w:p>
    <w:p>
      <w:pPr/>
      <w:r>
        <w:rPr/>
        <w:t xml:space="preserve">Décrire la fourchette d'étalement autorisée sur chantier.Le déroulement du coulage est décrit dans le "Cahier des Prescriptions Technique d'Exécution des chapes fluides à base de ciment" (e-cahier du CSTB - cahier n° 3774_V2).</w:t>
      </w:r>
    </w:p>
    <w:p>
      <w:pPr/>
      <w:r>
        <w:rPr>
          <w:b/>
          <w:bCs/>
        </w:rPr>
        <w:t xml:space="preserve">Justification</w:t>
      </w:r>
    </w:p>
    <w:p>
      <w:pPr/>
      <w:r>
        <w:rPr/>
        <w:t xml:space="preserve">Il convient d’apporter les éléments de justification sur l’efficacité de la cure interne pour la chape  afin de s’assurer que le séchage est homogène, les courbes de cinétique de séchage de la chape poncée et non poncée présentées en séance sont à compléter avec des essais de cinétique de séchage sur : une formule de chape contenant la cure intégrée, surface non poncée une formule de chape ne contenant pas la cure intégrée, surface non poncée une formule de chape avec la cure externe, surface non poncée </w:t>
      </w:r>
    </w:p>
    <w:p>
      <w:pPr/>
      <w:r>
        <w:rPr/>
        <w:t xml:space="preserve">Afin de garantir l’absence de risques de fissuration au jeune âge, des essais de retrait au jeune âge (RAJA) sont aussi attendus, comparant les effets de la cure sur le comportement dimensionnel au jeune âge de la chape.</w:t>
      </w:r>
    </w:p>
    <w:p>
      <w:pPr>
        <w:ind w:left="720" w:right="0"/>
      </w:pPr>
      <w:r>
        <w:rPr>
          <w:rStyle w:val="font_h2"/>
        </w:rPr>
        <w:t xml:space="preserve">5.4.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dans le "Cahier des Prescriptions Techniques d'Exécution des chapes fluides à base de ciment (e-cahiers du CSTB - cahier n° 3774_V2).</w:t>
      </w:r>
    </w:p>
    <w:p>
      <w:pPr/>
      <w:r>
        <w:rPr>
          <w:rStyle w:val="font_h1"/>
        </w:rPr>
        <w:t xml:space="preserve">6. Conditions particulières de mise en oeuvre dans le cas de réalisation d'une chape chauffante</w:t>
      </w:r>
    </w:p>
    <w:p>
      <w:pPr>
        <w:ind w:left="720" w:right="0"/>
      </w:pPr>
      <w:r>
        <w:rPr>
          <w:rStyle w:val="font_h2"/>
        </w:rPr>
        <w:t xml:space="preserve">6.1. Mise en oeuvre de la chape chauffante</w:t>
      </w:r>
    </w:p>
    <w:p>
      <w:pPr/>
      <w:r>
        <w:rPr/>
        <w:t xml:space="preserve">Validé par le Groupe Spécialisé le 02/10/2018</w:t>
      </w:r>
    </w:p>
    <w:p>
      <w:pPr/>
      <w:r>
        <w:rPr>
          <w:b/>
          <w:bCs/>
        </w:rPr>
        <w:t xml:space="preserve">Description</w:t>
      </w:r>
    </w:p>
    <w:p>
      <w:pPr/>
      <w:r>
        <w:rPr/>
        <w:t xml:space="preserve">Les conditions sont définies dans le "Cahier des Prescriptions Techniques d'Exécution des chapes fluides à base de ciment (e-cahiers du CSTB - cahier n° 3774_V2) sauf si précision de mise en œuvre spécifique. Par exemple :</w:t>
      </w:r>
    </w:p>
    <w:p>
      <w:pPr>
        <w:pPr/>
        <w:numPr>
          <w:ilvl w:val="0"/>
          <w:numId w:val="24"/>
        </w:numPr>
      </w:pPr>
      <w:r>
        <w:rPr/>
        <w:t xml:space="preserve">épaisseur spécifique</w:t>
      </w:r>
    </w:p>
    <w:p>
      <w:pPr>
        <w:pPr/>
        <w:numPr>
          <w:ilvl w:val="0"/>
          <w:numId w:val="24"/>
        </w:numPr>
      </w:pPr>
      <w:r>
        <w:rPr/>
        <w:t xml:space="preserve">procédure de mise en chauffe différente,</w:t>
      </w:r>
    </w:p>
    <w:p>
      <w:pPr>
        <w:pPr/>
        <w:numPr>
          <w:ilvl w:val="0"/>
          <w:numId w:val="24"/>
        </w:numPr>
      </w:pPr>
      <w:r>
        <w:rPr/>
        <w:t xml:space="preserve">fractionnement de la chape spécifique ...</w:t>
      </w:r>
    </w:p>
    <w:p>
      <w:pPr>
        <w:ind w:left="720" w:right="0"/>
      </w:pPr>
      <w:r>
        <w:rPr>
          <w:rStyle w:val="font_h2"/>
        </w:rPr>
        <w:t xml:space="preserve">6.2. Mise en chauffe précoce des PRE</w:t>
      </w:r>
    </w:p>
    <w:p>
      <w:pPr/>
      <w:r>
        <w:rPr>
          <w:rStyle w:val="font_h1"/>
        </w:rPr>
        <w:t xml:space="preserve">7.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dans le "Cahier des Prescriptions Techniques d'Exécution des chapes fluides à base de ciment (e-cahiers du CSTB - cahier n° 3774_V2).Les revêtements de sol sont posés après vérification de l'état de surface de la chape.Les conditions de pose des revêtements de sol, d'appareils sanitaires et d'entretien des sols sont précisées dans le "Cahier des Prescriptions Techniques d'Exécution des chapes fluides à base de ciment (e-cahiers du CSTB - cahier n° 3774_V2).Les différents revêtements de sol sont posés selon les prescriptions définies dans les Cahiers des Prescriptions Techniques ou NF DTU les concernant.</w:t>
      </w:r>
    </w:p>
    <w:p>
      <w:pPr/>
      <w:r>
        <w:rPr>
          <w:rStyle w:val="font_h1"/>
        </w:rPr>
        <w:t xml:space="preserve">8.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Document Technique d'Application.</w:t>
      </w:r>
    </w:p>
    <w:p>
      <w:pPr/>
      <w:r>
        <w:rPr>
          <w:b/>
          <w:bCs/>
        </w:rPr>
        <w:t xml:space="preserve">Justification</w:t>
      </w:r>
    </w:p>
    <w:p>
      <w:pPr/>
      <w:r>
        <w:rPr/>
        <w:t xml:space="preserve">Module de formation des applicateurs en place.</w:t>
      </w:r>
    </w:p>
    <w:p>
      <w:pPr/>
      <w:r>
        <w:rPr>
          <w:rStyle w:val="font_h1"/>
        </w:rPr>
        <w:t xml:space="preserve">9. Références chantier</w:t>
      </w:r>
    </w:p>
    <w:p>
      <w:pPr>
        <w:ind w:left="720" w:right="0"/>
      </w:pPr>
      <w:r>
        <w:rPr>
          <w:rStyle w:val="font_h2"/>
        </w:rPr>
        <w:t xml:space="preserve">9.1.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pPr/>
        <w:numPr>
          <w:ilvl w:val="0"/>
          <w:numId w:val="26"/>
        </w:numPr>
      </w:pPr>
      <w:r>
        <w:rPr/>
        <w:t xml:space="preserve">Liste de références de chantiers détaillée, les éléments ci-après sont habituellement demandés sous forme de tableau récapitulatif (10 chantiers représentatifs ou 5000 m²) :</w:t>
      </w:r>
    </w:p>
    <w:p>
      <w:pPr>
        <w:pPr/>
        <w:numPr>
          <w:ilvl w:val="0"/>
          <w:numId w:val="27"/>
        </w:numPr>
      </w:pPr>
      <w:r>
        <w:rPr/>
        <w:t xml:space="preserve">L’adresse du chantier,</w:t>
      </w:r>
    </w:p>
    <w:p>
      <w:pPr>
        <w:pPr/>
        <w:numPr>
          <w:ilvl w:val="0"/>
          <w:numId w:val="27"/>
        </w:numPr>
      </w:pPr>
      <w:r>
        <w:rPr/>
        <w:t xml:space="preserve">La date de mise en œuvre,</w:t>
      </w:r>
    </w:p>
    <w:p>
      <w:pPr>
        <w:pPr/>
        <w:numPr>
          <w:ilvl w:val="0"/>
          <w:numId w:val="27"/>
        </w:numPr>
      </w:pPr>
      <w:r>
        <w:rPr/>
        <w:t xml:space="preserve">Les noms, adresses et e-mail du maître d’œuvre, maître d’ouvrage, architecte,</w:t>
      </w:r>
    </w:p>
    <w:p>
      <w:pPr>
        <w:pPr/>
        <w:numPr>
          <w:ilvl w:val="0"/>
          <w:numId w:val="27"/>
        </w:numPr>
      </w:pPr>
      <w:r>
        <w:rPr/>
        <w:t xml:space="preserve">La nature du support,</w:t>
      </w:r>
    </w:p>
    <w:p>
      <w:pPr>
        <w:pPr/>
        <w:numPr>
          <w:ilvl w:val="0"/>
          <w:numId w:val="27"/>
        </w:numPr>
      </w:pPr>
      <w:r>
        <w:rPr/>
        <w:t xml:space="preserve">Existence de plancher chauffant,</w:t>
      </w:r>
    </w:p>
    <w:p>
      <w:pPr>
        <w:pPr/>
        <w:numPr>
          <w:ilvl w:val="0"/>
          <w:numId w:val="27"/>
        </w:numPr>
      </w:pPr>
      <w:r>
        <w:rPr/>
        <w:t xml:space="preserve">Épaisseurs d’application,</w:t>
      </w:r>
    </w:p>
    <w:p>
      <w:pPr>
        <w:pPr/>
        <w:numPr>
          <w:ilvl w:val="0"/>
          <w:numId w:val="27"/>
        </w:numPr>
      </w:pPr>
      <w:r>
        <w:rPr/>
        <w:t xml:space="preserve">Fractionnement effectué,</w:t>
      </w:r>
    </w:p>
    <w:p>
      <w:pPr>
        <w:pPr/>
        <w:numPr>
          <w:ilvl w:val="0"/>
          <w:numId w:val="27"/>
        </w:numPr>
      </w:pPr>
      <w:r>
        <w:rPr/>
        <w:t xml:space="preserve">Ponçage ou non ponçage de la chape.</w:t>
      </w:r>
    </w:p>
    <w:p>
      <w:pPr>
        <w:pPr/>
        <w:numPr>
          <w:ilvl w:val="0"/>
          <w:numId w:val="28"/>
        </w:numPr>
      </w:pPr>
      <w:r>
        <w:rPr/>
        <w:t xml:space="preserve">Aptitude à l'emploi du procédé:</w:t>
      </w:r>
    </w:p>
    <w:p>
      <w:pPr>
        <w:pPr/>
        <w:numPr>
          <w:ilvl w:val="1"/>
          <w:numId w:val="28"/>
        </w:numPr>
      </w:pPr>
      <w:r>
        <w:rPr/>
        <w:t xml:space="preserve">Visite de chantier.</w:t>
      </w:r>
    </w:p>
    <w:p>
      <w:pPr>
        <w:ind w:left="720" w:right="0"/>
      </w:pPr>
      <w:r>
        <w:rPr>
          <w:rStyle w:val="font_h2"/>
        </w:rPr>
        <w:t xml:space="preserve">9.2.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841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2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3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C97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C6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1E7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A9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91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FB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C7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5B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45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7E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95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BB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19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08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D2F4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5A5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53D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2025-12-08T04:42:01+01:00</dcterms:created>
  <dcterms:modified xsi:type="dcterms:W3CDTF">2025-12-08T04:42:01+01:00</dcterms:modified>
</cp:coreProperties>
</file>

<file path=docProps/custom.xml><?xml version="1.0" encoding="utf-8"?>
<Properties xmlns="http://schemas.openxmlformats.org/officeDocument/2006/custom-properties" xmlns:vt="http://schemas.openxmlformats.org/officeDocument/2006/docPropsVTypes"/>
</file>