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Chape fluide à base de ciment</w:t>
      </w:r>
    </w:p>
    <w:p>
      <w:pPr/>
      <w:r>
        <w:rPr>
          <w:rStyle w:val="font_h1"/>
        </w:rPr>
        <w:t xml:space="preserve">1. Description</w:t>
      </w:r>
    </w:p>
    <w:p>
      <w:pPr>
        <w:ind w:left="720" w:right="0"/>
      </w:pPr>
      <w:r>
        <w:rPr>
          <w:rStyle w:val="font_h2"/>
        </w:rPr>
        <w:t xml:space="preserve">1.1. Principe</w:t>
      </w:r>
    </w:p>
    <w:p>
      <w:pPr/>
      <w:r>
        <w:rPr/>
        <w:t xml:space="preserve">Validé par le Groupe Spécialisé le 02/10/2018</w:t>
      </w:r>
    </w:p>
    <w:p>
      <w:pPr/>
      <w:r>
        <w:rPr>
          <w:b/>
          <w:bCs/>
        </w:rPr>
        <w:t xml:space="preserve">Description</w:t>
      </w:r>
    </w:p>
    <w:p>
      <w:pPr/>
      <w:r>
        <w:rPr/>
        <w:t xml:space="preserve">Préciser :</w:t>
      </w:r>
    </w:p>
    <w:p>
      <w:pPr>
        <w:pPr/>
        <w:numPr>
          <w:ilvl w:val="0"/>
          <w:numId w:val="9"/>
        </w:numPr>
      </w:pPr>
      <w:r>
        <w:rPr/>
        <w:t xml:space="preserve">la classe mécanique de la chape suivant la norme NF EN 13813</w:t>
      </w:r>
    </w:p>
    <w:p>
      <w:pPr>
        <w:pPr/>
        <w:numPr>
          <w:ilvl w:val="0"/>
          <w:numId w:val="9"/>
        </w:numPr>
      </w:pPr>
      <w:r>
        <w:rPr/>
        <w:t xml:space="preserve">le classement UPEC des locaux visés</w:t>
      </w:r>
    </w:p>
    <w:p>
      <w:pPr>
        <w:pPr/>
        <w:numPr>
          <w:ilvl w:val="0"/>
          <w:numId w:val="9"/>
        </w:numPr>
      </w:pPr>
      <w:r>
        <w:rPr/>
        <w:t xml:space="preserve">le mode de distribution</w:t>
      </w:r>
    </w:p>
    <w:p>
      <w:pPr>
        <w:pPr/>
        <w:numPr>
          <w:ilvl w:val="0"/>
          <w:numId w:val="9"/>
        </w:numPr>
      </w:pPr>
      <w:r>
        <w:rPr/>
        <w:t xml:space="preserve">le suivi de la Société détentrice du DTA</w:t>
      </w:r>
    </w:p>
    <w:p>
      <w:pPr>
        <w:ind w:left="720" w:right="0"/>
      </w:pPr>
      <w:r>
        <w:rPr>
          <w:rStyle w:val="font_h2"/>
        </w:rPr>
        <w:t xml:space="preserve">1.2. Caractéristiques des composants</w:t>
      </w:r>
    </w:p>
    <w:p>
      <w:pPr>
        <w:ind w:left="1440" w:right="0"/>
      </w:pPr>
      <w:r>
        <w:rPr>
          <w:rStyle w:val="font_h3"/>
        </w:rPr>
        <w:t xml:space="preserve">1.2.1. mortier de chape</w:t>
      </w:r>
    </w:p>
    <w:p>
      <w:pPr>
        <w:ind w:left="2160" w:right="0"/>
      </w:pPr>
      <w:r>
        <w:rPr>
          <w:rStyle w:val="font_h3"/>
        </w:rPr>
        <w:t xml:space="preserve">1.2.1.1. Caractéristiques du mortier gâché</w:t>
      </w:r>
    </w:p>
    <w:p>
      <w:pPr>
        <w:ind w:left="2160" w:right="0"/>
      </w:pPr>
      <w:r>
        <w:rPr>
          <w:rStyle w:val="font_h3"/>
        </w:rPr>
        <w:t xml:space="preserve">1.2.1.2. Etalement</w:t>
      </w:r>
    </w:p>
    <w:p>
      <w:pPr>
        <w:ind w:left="2160" w:right="0"/>
      </w:pPr>
      <w:r>
        <w:rPr>
          <w:rStyle w:val="font_h3"/>
        </w:rPr>
        <w:t xml:space="preserve">1.2.1.3. Caractéristiques du mortier durci</w:t>
      </w:r>
    </w:p>
    <w:p>
      <w:pPr>
        <w:ind w:left="1440" w:right="0"/>
      </w:pPr>
      <w:r>
        <w:rPr>
          <w:rStyle w:val="font_h3"/>
        </w:rPr>
        <w:t xml:space="preserve">1.2.2. Caractéristique de l'eau</w:t>
      </w:r>
    </w:p>
    <w:p>
      <w:pPr/>
      <w:r>
        <w:rPr/>
        <w:t xml:space="preserve">Validé par le Groupe Spécialisé le 02/10/2018</w:t>
      </w:r>
    </w:p>
    <w:p>
      <w:pPr/>
      <w:r>
        <w:rPr>
          <w:b/>
          <w:bCs/>
        </w:rPr>
        <w:t xml:space="preserve">Description</w:t>
      </w:r>
    </w:p>
    <w:p>
      <w:pPr/>
      <w:r>
        <w:rPr/>
        <w:t xml:space="preserve">Conformité à la norme EN 1008</w:t>
      </w:r>
    </w:p>
    <w:p>
      <w:pPr>
        <w:ind w:left="1440" w:right="0"/>
      </w:pPr>
      <w:r>
        <w:rPr>
          <w:rStyle w:val="font_h3"/>
        </w:rPr>
        <w:t xml:space="preserve">1.2.3. Ciments</w:t>
      </w:r>
    </w:p>
    <w:p>
      <w:pPr>
        <w:ind w:left="1440" w:right="0"/>
      </w:pPr>
      <w:r>
        <w:rPr>
          <w:rStyle w:val="font_h3"/>
        </w:rPr>
        <w:t xml:space="preserve">1.2.4. Fibres</w:t>
      </w:r>
    </w:p>
    <w:p>
      <w:pPr/>
      <w:r>
        <w:rPr/>
        <w:t xml:space="preserve">Validé par le Groupe Spécialisé le 02/10/2018</w:t>
      </w:r>
    </w:p>
    <w:p>
      <w:pPr/>
      <w:r>
        <w:rPr>
          <w:b/>
          <w:bCs/>
        </w:rPr>
        <w:t xml:space="preserve">Description</w:t>
      </w:r>
    </w:p>
    <w:p>
      <w:pPr/>
      <w:r>
        <w:rPr/>
        <w:t xml:space="preserve">Préciser les caractéristiques des fibres employées (micro-synthétiques, métalliques et/ou macro-synthétiques) et leur dosage.</w:t>
      </w:r>
    </w:p>
    <w:p>
      <w:pPr>
        <w:ind w:left="1440" w:right="0"/>
      </w:pPr>
      <w:r>
        <w:rPr>
          <w:rStyle w:val="font_h3"/>
        </w:rPr>
        <w:t xml:space="preserve">1.2.5. Produits de cure</w:t>
      </w:r>
    </w:p>
    <w:p>
      <w:pPr>
        <w:ind w:left="1440" w:right="0"/>
      </w:pPr>
      <w:r>
        <w:rPr>
          <w:rStyle w:val="font_h3"/>
        </w:rPr>
        <w:t xml:space="preserve">1.2.6. Données environnementales</w:t>
      </w:r>
    </w:p>
    <w:p>
      <w:pPr>
        <w:ind w:left="1440" w:right="0"/>
      </w:pPr>
      <w:r>
        <w:rPr>
          <w:rStyle w:val="font_h3"/>
        </w:rPr>
        <w:t xml:space="preserve">1.2.7. Produits associés</w:t>
      </w:r>
    </w:p>
    <w:p>
      <w:pPr>
        <w:ind w:left="720" w:right="0"/>
      </w:pPr>
      <w:r>
        <w:rPr>
          <w:rStyle w:val="font_h2"/>
        </w:rPr>
        <w:t xml:space="preserve">1.3. Mode de commercialisation</w:t>
      </w:r>
    </w:p>
    <w:p>
      <w:pPr/>
      <w:r>
        <w:rPr/>
        <w:t xml:space="preserve">Validé par le Groupe Spécialisé le 02/10/2018</w:t>
      </w:r>
    </w:p>
    <w:p>
      <w:pPr/>
      <w:r>
        <w:rPr>
          <w:b/>
          <w:bCs/>
        </w:rPr>
        <w:t xml:space="preserve">Description</w:t>
      </w:r>
    </w:p>
    <w:p>
      <w:pPr/>
      <w:r>
        <w:rPr/>
        <w:t xml:space="preserve">Définir le mode de distribution de la chape ainsi que la traçabilité mise en place.</w:t>
      </w:r>
    </w:p>
    <w:p>
      <w:pPr/>
      <w:r>
        <w:rPr>
          <w:b/>
          <w:bCs/>
        </w:rPr>
        <w:t xml:space="preserve">Justification</w:t>
      </w:r>
    </w:p>
    <w:p>
      <w:pPr>
        <w:pPr/>
        <w:numPr>
          <w:ilvl w:val="0"/>
          <w:numId w:val="10"/>
        </w:numPr>
      </w:pPr>
      <w:r>
        <w:rPr/>
        <w:t xml:space="preserve">Liste des unités de production agréées</w:t>
      </w:r>
    </w:p>
    <w:p>
      <w:pPr>
        <w:pPr/>
        <w:numPr>
          <w:ilvl w:val="0"/>
          <w:numId w:val="10"/>
        </w:numPr>
      </w:pPr>
      <w:r>
        <w:rPr/>
        <w:t xml:space="preserve">Contrat d'engagement titulaire/CSTB</w:t>
      </w:r>
    </w:p>
    <w:p>
      <w:pPr>
        <w:pPr/>
        <w:numPr>
          <w:ilvl w:val="0"/>
          <w:numId w:val="10"/>
        </w:numPr>
      </w:pPr>
      <w:r>
        <w:rPr/>
        <w:t xml:space="preserve">Description des moyens d’identification sur chantiers : Etiquette de chantier</w:t>
      </w:r>
    </w:p>
    <w:p>
      <w:pPr>
        <w:pPr/>
        <w:numPr>
          <w:ilvl w:val="0"/>
          <w:numId w:val="10"/>
        </w:numPr>
      </w:pPr>
      <w:r>
        <w:rPr/>
        <w:t xml:space="preserve">Moyens de traçabilité (proposition suivant le demandeur)</w:t>
      </w:r>
    </w:p>
    <w:p>
      <w:pPr/>
      <w:r>
        <w:rPr>
          <w:rStyle w:val="font_h1"/>
        </w:rPr>
        <w:t xml:space="preserve">2. Domaine d'emploi</w:t>
      </w:r>
    </w:p>
    <w:p>
      <w:pPr>
        <w:ind w:left="720" w:right="0"/>
      </w:pPr>
      <w:r>
        <w:rPr>
          <w:rStyle w:val="font_h2"/>
        </w:rPr>
        <w:t xml:space="preserve">2.1. Zone géographique</w:t>
      </w:r>
    </w:p>
    <w:p>
      <w:pPr>
        <w:ind w:left="720" w:right="0"/>
      </w:pPr>
      <w:r>
        <w:rPr>
          <w:rStyle w:val="font_h2"/>
        </w:rPr>
        <w:t xml:space="preserve">2.2. Ouvrages visés</w:t>
      </w:r>
    </w:p>
    <w:p>
      <w:pPr/>
      <w:r>
        <w:rPr/>
        <w:t xml:space="preserve">Validé par le Groupe Spécialisé le 02/10/2018</w:t>
      </w:r>
    </w:p>
    <w:p>
      <w:pPr/>
      <w:r>
        <w:rPr>
          <w:b/>
          <w:bCs/>
        </w:rPr>
        <w:t xml:space="preserve">Description</w:t>
      </w:r>
    </w:p>
    <w:p>
      <w:pPr/>
      <w:r>
        <w:rPr/>
        <w:t xml:space="preserve">Le Domaine d'application, les supports admissibles et la nature des revêtements et des colles associées sont définis dans le "Cahier des Prescriptions Techniques d'Exécution des chapes fluides ciment" (e-cahier du CSTB 3774_V2). Indiquer à ce niveau les planchers chauffants qui sont visés.</w:t>
      </w:r>
    </w:p>
    <w:p>
      <w:pPr/>
      <w:r>
        <w:rPr>
          <w:b/>
          <w:bCs/>
        </w:rPr>
        <w:t xml:space="preserve">Justification</w:t>
      </w:r>
    </w:p>
    <w:p>
      <w:pPr>
        <w:pPr/>
        <w:numPr>
          <w:ilvl w:val="0"/>
          <w:numId w:val="11"/>
        </w:numPr>
      </w:pPr>
      <w:r>
        <w:rPr/>
        <w:t xml:space="preserve">rapport d'essais</w:t>
      </w:r>
    </w:p>
    <w:p>
      <w:pPr>
        <w:ind w:left="720" w:right="0"/>
      </w:pPr>
      <w:r>
        <w:rPr>
          <w:rStyle w:val="font_h2"/>
        </w:rPr>
        <w:t xml:space="preserve">2.3. Epaisseur de la chape - Pose de cloisons légères</w:t>
      </w:r>
    </w:p>
    <w:p>
      <w:pPr/>
      <w:r>
        <w:rPr/>
        <w:t xml:space="preserve">Validé par le Groupe Spécialisé le 02/10/2018</w:t>
      </w:r>
    </w:p>
    <w:p>
      <w:pPr/>
      <w:r>
        <w:rPr>
          <w:b/>
          <w:bCs/>
        </w:rPr>
        <w:t xml:space="preserve">Description</w:t>
      </w:r>
    </w:p>
    <w:p>
      <w:pPr/>
      <w:r>
        <w:rPr/>
        <w:t xml:space="preserve">Inclure un tableau précisant les épaisseurs minimales de chape visées en fonction des configurations de pose.Préciser les sous-couches isolantes visées ainsi que la masse des cloisons légères autorisées.</w:t>
      </w:r>
    </w:p>
    <w:p>
      <w:pPr>
        <w:ind w:left="720" w:right="0"/>
      </w:pPr>
      <w:r>
        <w:rPr>
          <w:rStyle w:val="font_h2"/>
        </w:rPr>
        <w:t xml:space="preserve">2.4. Aptitude à l'emploi du procédé ( comportement au feu, durabilité...)</w:t>
      </w:r>
    </w:p>
    <w:p>
      <w:pPr/>
      <w:r>
        <w:rPr>
          <w:rStyle w:val="font_h1"/>
        </w:rPr>
        <w:t xml:space="preserve">3. Dispositions de conception</w:t>
      </w:r>
    </w:p>
    <w:p>
      <w:pPr/>
      <w:r>
        <w:rPr>
          <w:rStyle w:val="font_h1"/>
        </w:rPr>
        <w:t xml:space="preserve">4. Dispositions de Mise en oeuvre de la chape fluide</w:t>
      </w:r>
    </w:p>
    <w:p>
      <w:pPr>
        <w:ind w:left="720" w:right="0"/>
      </w:pPr>
      <w:r>
        <w:rPr>
          <w:rStyle w:val="font_h2"/>
        </w:rPr>
        <w:t xml:space="preserve">4.1. Généralités et choix du type de chape</w:t>
      </w:r>
    </w:p>
    <w:p>
      <w:pPr>
        <w:ind w:left="1440" w:right="0"/>
      </w:pPr>
      <w:r>
        <w:rPr>
          <w:rStyle w:val="font_h3"/>
        </w:rPr>
        <w:t xml:space="preserve">4.1.1. Généralités</w:t>
      </w:r>
    </w:p>
    <w:p>
      <w:pPr/>
      <w:r>
        <w:rPr/>
        <w:t xml:space="preserve">Validé par le Groupe Spécialisé le 02/10/2018</w:t>
      </w:r>
    </w:p>
    <w:p>
      <w:pPr/>
      <w:r>
        <w:rPr>
          <w:b/>
          <w:bCs/>
        </w:rPr>
        <w:t xml:space="preserve">Description</w:t>
      </w:r>
    </w:p>
    <w:p>
      <w:pPr/>
      <w:r>
        <w:rPr/>
        <w:t xml:space="preserve">D'une manière générale, on se reportera au "Cahier des Prescriptions Techniques d'Exécution des chapes fluides à base de ciment" (e-cahier du CSTB - Cahier 3774_V2) qui précise :</w:t>
      </w:r>
    </w:p>
    <w:p>
      <w:pPr>
        <w:pPr/>
        <w:numPr>
          <w:ilvl w:val="0"/>
          <w:numId w:val="12"/>
        </w:numPr>
      </w:pPr>
      <w:r>
        <w:rPr/>
        <w:t xml:space="preserve">les conditions préalables à la pose</w:t>
      </w:r>
    </w:p>
    <w:p>
      <w:pPr>
        <w:pPr/>
        <w:numPr>
          <w:ilvl w:val="0"/>
          <w:numId w:val="12"/>
        </w:numPr>
      </w:pPr>
      <w:r>
        <w:rPr/>
        <w:t xml:space="preserve">les travaux préliminaires au coulage</w:t>
      </w:r>
    </w:p>
    <w:p>
      <w:pPr>
        <w:pPr/>
        <w:numPr>
          <w:ilvl w:val="0"/>
          <w:numId w:val="12"/>
        </w:numPr>
      </w:pPr>
      <w:r>
        <w:rPr/>
        <w:t xml:space="preserve">le coulage proprement dit, dans le cas de planchers chauffants ou non</w:t>
      </w:r>
    </w:p>
    <w:p>
      <w:pPr/>
      <w:r>
        <w:rPr/>
        <w:t xml:space="preserve">Le choix du type de chape fibrée ou non sera décrit.</w:t>
      </w:r>
    </w:p>
    <w:p>
      <w:pPr>
        <w:ind w:left="1440" w:right="0"/>
      </w:pPr>
      <w:r>
        <w:rPr>
          <w:rStyle w:val="font_h3"/>
        </w:rPr>
        <w:t xml:space="preserve">4.1.2. Cas des chapes fluides sans pellicule de surface</w:t>
      </w:r>
    </w:p>
    <w:p>
      <w:pPr>
        <w:ind w:left="720" w:right="0"/>
      </w:pPr>
      <w:r>
        <w:rPr>
          <w:rStyle w:val="font_h2"/>
        </w:rPr>
        <w:t xml:space="preserve">4.2. Travaux préliminaires</w:t>
      </w:r>
    </w:p>
    <w:p>
      <w:pPr/>
      <w:r>
        <w:rPr/>
        <w:t xml:space="preserve">Validé par le Groupe Spécialisé le 02/10/2018</w:t>
      </w:r>
    </w:p>
    <w:p>
      <w:pPr/>
      <w:r>
        <w:rPr>
          <w:b/>
          <w:bCs/>
        </w:rPr>
        <w:t xml:space="preserve">Description</w:t>
      </w:r>
    </w:p>
    <w:p>
      <w:pPr/>
      <w:r>
        <w:rPr/>
        <w:t xml:space="preserve">Ils sont réalisés conformément au "Cahier des Prescriptions Techniques d'Exécution des chapes fluides à base de ciment" (e-cahier du CSTB - cahier n° 3774_V2) ou suivant les indications plus spécifiques à préciser.</w:t>
      </w:r>
    </w:p>
    <w:p>
      <w:pPr>
        <w:ind w:left="720" w:right="0"/>
      </w:pPr>
      <w:r>
        <w:rPr>
          <w:rStyle w:val="font_h2"/>
        </w:rPr>
        <w:t xml:space="preserve">4.3. Coulage de la chape</w:t>
      </w:r>
    </w:p>
    <w:p>
      <w:pPr/>
      <w:r>
        <w:rPr/>
        <w:t xml:space="preserve">Validé par le Groupe Spécialisé le 24/06/2021</w:t>
      </w:r>
    </w:p>
    <w:p>
      <w:pPr/>
      <w:r>
        <w:rPr>
          <w:b/>
          <w:bCs/>
        </w:rPr>
        <w:t xml:space="preserve">Description</w:t>
      </w:r>
    </w:p>
    <w:p>
      <w:pPr/>
      <w:r>
        <w:rPr/>
        <w:t xml:space="preserve">Décrire la fourchette d'étalement autorisée sur chantier.Le déroulement du coulage est décrit dans le "Cahier des Prescriptions Technique d'Exécution des chapes fluides à base de ciment" (e-cahier du CSTB - cahier n° 3774_V2).</w:t>
      </w:r>
    </w:p>
    <w:p>
      <w:pPr/>
      <w:r>
        <w:rPr>
          <w:b/>
          <w:bCs/>
        </w:rPr>
        <w:t xml:space="preserve">Justification</w:t>
      </w:r>
    </w:p>
    <w:p>
      <w:pPr/>
      <w:r>
        <w:rPr/>
        <w:t xml:space="preserve">Il convient d’apporter les éléments de justification sur l’efficacité de la cure interne pour la chape  afin de s’assurer que le séchage est homogène, les courbes de cinétique de séchage de la chape poncée et non poncée présentées en séance sont à compléter avec des essais de cinétique de séchage sur : une formule de chape contenant la cure intégrée, surface non poncée une formule de chape ne contenant pas la cure intégrée, surface non poncée une formule de chape avec la cure externe, surface non poncée </w:t>
      </w:r>
    </w:p>
    <w:p>
      <w:pPr/>
      <w:r>
        <w:rPr/>
        <w:t xml:space="preserve">Afin de garantir l’absence de risques de fissuration au jeune âge, des essais de retrait au jeune âge (RAJA) sont aussi attendus, comparant les effets de la cure sur le comportement dimensionnel au jeune âge de la chape.</w:t>
      </w:r>
    </w:p>
    <w:p>
      <w:pPr>
        <w:ind w:left="720" w:right="0"/>
      </w:pPr>
      <w:r>
        <w:rPr>
          <w:rStyle w:val="font_h2"/>
        </w:rPr>
        <w:t xml:space="preserve">4.4. Travaux de finition</w:t>
      </w:r>
    </w:p>
    <w:p>
      <w:pPr/>
      <w:r>
        <w:rPr/>
        <w:t xml:space="preserve">Validé par le Groupe Spécialisé le 02/10/2018</w:t>
      </w:r>
    </w:p>
    <w:p>
      <w:pPr/>
      <w:r>
        <w:rPr>
          <w:b/>
          <w:bCs/>
        </w:rPr>
        <w:t xml:space="preserve">Description</w:t>
      </w:r>
    </w:p>
    <w:p>
      <w:pPr/>
      <w:r>
        <w:rPr/>
        <w:t xml:space="preserve">Les conditions de protection, de séchage, de mise en service, de réalisation des joints, de réparation des fissures et d'élimination de la pellicule de surface de la chape (si tel est le cas), sont précisées dans le "Cahier des Prescriptions Techniques d'Exécution des chapes fluides à base de ciment (e-cahiers du CSTB - cahier n° 3774_V2).</w:t>
      </w:r>
    </w:p>
    <w:p>
      <w:pPr/>
      <w:r>
        <w:rPr>
          <w:rStyle w:val="font_h1"/>
        </w:rPr>
        <w:t xml:space="preserve">5. Conditions particulières de mise en oeuvre dans le cas de réalisation d'une chape chauffante</w:t>
      </w:r>
    </w:p>
    <w:p>
      <w:pPr>
        <w:ind w:left="720" w:right="0"/>
      </w:pPr>
      <w:r>
        <w:rPr>
          <w:rStyle w:val="font_h2"/>
        </w:rPr>
        <w:t xml:space="preserve">5.1. Mise en oeuvre de la chape chauffante</w:t>
      </w:r>
    </w:p>
    <w:p>
      <w:pPr/>
      <w:r>
        <w:rPr/>
        <w:t xml:space="preserve">Validé par le Groupe Spécialisé le 02/10/2018</w:t>
      </w:r>
    </w:p>
    <w:p>
      <w:pPr/>
      <w:r>
        <w:rPr>
          <w:b/>
          <w:bCs/>
        </w:rPr>
        <w:t xml:space="preserve">Description</w:t>
      </w:r>
    </w:p>
    <w:p>
      <w:pPr/>
      <w:r>
        <w:rPr/>
        <w:t xml:space="preserve">Les conditions sont définies dans le "Cahier des Prescriptions Techniques d'Exécution des chapes fluides à base de ciment (e-cahiers du CSTB - cahier n° 3774_V2) sauf si précision de mise en œuvre spécifique. Par exemple :</w:t>
      </w:r>
    </w:p>
    <w:p>
      <w:pPr>
        <w:pPr/>
        <w:numPr>
          <w:ilvl w:val="0"/>
          <w:numId w:val="13"/>
        </w:numPr>
      </w:pPr>
      <w:r>
        <w:rPr/>
        <w:t xml:space="preserve">épaisseur spécifique</w:t>
      </w:r>
    </w:p>
    <w:p>
      <w:pPr>
        <w:pPr/>
        <w:numPr>
          <w:ilvl w:val="0"/>
          <w:numId w:val="13"/>
        </w:numPr>
      </w:pPr>
      <w:r>
        <w:rPr/>
        <w:t xml:space="preserve">procédure de mise en chauffe différente,</w:t>
      </w:r>
    </w:p>
    <w:p>
      <w:pPr>
        <w:pPr/>
        <w:numPr>
          <w:ilvl w:val="0"/>
          <w:numId w:val="13"/>
        </w:numPr>
      </w:pPr>
      <w:r>
        <w:rPr/>
        <w:t xml:space="preserve">fractionnement de la chape spécifique ...</w:t>
      </w:r>
    </w:p>
    <w:p>
      <w:pPr>
        <w:ind w:left="720" w:right="0"/>
      </w:pPr>
      <w:r>
        <w:rPr>
          <w:rStyle w:val="font_h2"/>
        </w:rPr>
        <w:t xml:space="preserve">5.2. Mise en chauffe précoce des PRE</w:t>
      </w:r>
    </w:p>
    <w:p>
      <w:pPr/>
      <w:r>
        <w:rPr>
          <w:rStyle w:val="font_h1"/>
        </w:rPr>
        <w:t xml:space="preserve">6. Pose de cloisons légères et pose de revêtements de sol</w:t>
      </w:r>
    </w:p>
    <w:p>
      <w:pPr/>
      <w:r>
        <w:rPr/>
        <w:t xml:space="preserve">Validé par le Groupe Spécialisé le 02/10/2018</w:t>
      </w:r>
    </w:p>
    <w:p>
      <w:pPr/>
      <w:r>
        <w:rPr>
          <w:b/>
          <w:bCs/>
        </w:rPr>
        <w:t xml:space="preserve">Description</w:t>
      </w:r>
    </w:p>
    <w:p>
      <w:pPr/>
      <w:r>
        <w:rPr/>
        <w:t xml:space="preserve">Les conditions de pose des cloisons légères sont précisées dans le "Cahier des Prescriptions Techniques d'Exécution des chapes fluides à base de ciment (e-cahiers du CSTB - cahier n° 3774_V2).Les revêtements de sol sont posés après vérification de l'état de surface de la chape.Les conditions de pose des revêtements de sol, d'appareils sanitaires et d'entretien des sols sont précisées dans le "Cahier des Prescriptions Techniques d'Exécution des chapes fluides à base de ciment (e-cahiers du CSTB - cahier n° 3774_V2).Les différents revêtements de sol sont posés selon les prescriptions définies dans les Cahiers des Prescriptions Techniques ou NF DTU les concernant.</w:t>
      </w:r>
    </w:p>
    <w:p>
      <w:pPr/>
      <w:r>
        <w:rPr>
          <w:rStyle w:val="font_h1"/>
        </w:rPr>
        <w:t xml:space="preserve">7. Maintien en service du produit ou procédé</w:t>
      </w:r>
    </w:p>
    <w:p>
      <w:pPr/>
      <w:r>
        <w:rPr>
          <w:rStyle w:val="font_h1"/>
        </w:rPr>
        <w:t xml:space="preserve">8. Traitement en fin de vie</w:t>
      </w:r>
    </w:p>
    <w:p>
      <w:pPr/>
      <w:r>
        <w:rPr>
          <w:rStyle w:val="font_h1"/>
        </w:rPr>
        <w:t xml:space="preserve">9. Assistance technique</w:t>
      </w:r>
    </w:p>
    <w:p>
      <w:pPr/>
      <w:r>
        <w:rPr/>
        <w:t xml:space="preserve">Validé par le Groupe Spécialisé le 02/10/2018</w:t>
      </w:r>
    </w:p>
    <w:p>
      <w:pPr/>
      <w:r>
        <w:rPr>
          <w:b/>
          <w:bCs/>
        </w:rPr>
        <w:t xml:space="preserve">Description</w:t>
      </w:r>
    </w:p>
    <w:p>
      <w:pPr/>
      <w:r>
        <w:rPr/>
        <w:t xml:space="preserve">Préciser la formation théorique et pratique apportée aux utilisateurs par le titulaire de l'Avis Technique ou du Document Technique d'Application.</w:t>
      </w:r>
    </w:p>
    <w:p>
      <w:pPr/>
      <w:r>
        <w:rPr>
          <w:b/>
          <w:bCs/>
        </w:rPr>
        <w:t xml:space="preserve">Justification</w:t>
      </w:r>
    </w:p>
    <w:p>
      <w:pPr/>
      <w:r>
        <w:rPr/>
        <w:t xml:space="preserve">Module de formation des applicateurs en place.</w:t>
      </w:r>
    </w:p>
    <w:p>
      <w:pPr/>
      <w:r>
        <w:rPr>
          <w:rStyle w:val="font_h1"/>
        </w:rPr>
        <w:t xml:space="preserve">10. Fabrication et contrôle</w:t>
      </w:r>
    </w:p>
    <w:p>
      <w:pPr>
        <w:ind w:left="720" w:right="0"/>
      </w:pPr>
      <w:r>
        <w:rPr>
          <w:rStyle w:val="font_h2"/>
        </w:rPr>
        <w:t xml:space="preserve">10.1. Centre de fabrication</w:t>
      </w:r>
    </w:p>
    <w:p>
      <w:pPr>
        <w:ind w:left="1440" w:right="0"/>
      </w:pPr>
      <w:r>
        <w:rPr>
          <w:rStyle w:val="font_h3"/>
        </w:rPr>
        <w:t xml:space="preserve">10.1.1. Cas des procédés certifiés QB46</w:t>
      </w:r>
    </w:p>
    <w:p>
      <w:pPr>
        <w:ind w:left="1440" w:right="0"/>
      </w:pPr>
      <w:r>
        <w:rPr>
          <w:rStyle w:val="font_h3"/>
        </w:rPr>
        <w:t xml:space="preserve">10.1.2. Cas des procédés non certifiés QB46</w:t>
      </w:r>
    </w:p>
    <w:p>
      <w:pPr/>
      <w:r>
        <w:rPr/>
        <w:t xml:space="preserve">Validé par le Groupe Spécialisé le 02/10/2018</w:t>
      </w:r>
    </w:p>
    <w:p>
      <w:pPr/>
      <w:r>
        <w:rPr>
          <w:b/>
          <w:bCs/>
        </w:rPr>
        <w:t xml:space="preserve">Description</w:t>
      </w:r>
    </w:p>
    <w:p>
      <w:pPr/>
      <w:r>
        <w:rPr/>
        <w:t xml:space="preserve">Décrire le mode de validation mis en place par le titulaire pour agréer une unité de productions et assurer son suivi.</w:t>
      </w:r>
    </w:p>
    <w:p>
      <w:pPr>
        <w:ind w:left="1440" w:right="0"/>
      </w:pPr>
      <w:r>
        <w:rPr>
          <w:rStyle w:val="font_h3"/>
        </w:rPr>
        <w:t xml:space="preserve">10.1.3. Validation de formule -  cas des chapes sans pellicules de surface</w:t>
      </w:r>
    </w:p>
    <w:p>
      <w:pPr/>
      <w:r>
        <w:rPr/>
        <w:t xml:space="preserve">Validé par le Groupe Spécialisé le 21/03/2023</w:t>
      </w:r>
    </w:p>
    <w:p>
      <w:pPr/>
      <w:r>
        <w:rPr>
          <w:b/>
          <w:bCs/>
        </w:rPr>
        <w:t xml:space="preserve">Description</w:t>
      </w:r>
    </w:p>
    <w:p>
      <w:pPr/>
      <w:r>
        <w:rPr/>
        <w:t xml:space="preserve">Pour les chapes fluides à base de ciment, présentant la caractéristique sans pellicule de surface, un essai de cohésion de surface sur chape non poncée devra être effectué dans le cadre des validations de formules de chaque nouvelle unité de production ajoutée. Ceci sera intégré dans le contrat d’engagement TITULAIRE/CSTB.</w:t>
      </w:r>
    </w:p>
    <w:p>
      <w:pPr/>
      <w:r>
        <w:rPr>
          <w:b/>
          <w:bCs/>
        </w:rPr>
        <w:t xml:space="preserve">Justification</w:t>
      </w:r>
    </w:p>
    <w:p>
      <w:pPr/>
      <w:r>
        <w:rPr/>
        <w:t xml:space="preserve">Essai de cohésion de surface sur chape non poncée à chaque nouvelle centrale / nouvelle formule</w:t>
      </w:r>
    </w:p>
    <w:p>
      <w:pPr/>
      <w:r>
        <w:rPr>
          <w:b/>
          <w:bCs/>
        </w:rPr>
        <w:t xml:space="preserve">Critères d'évaluation</w:t>
      </w:r>
    </w:p>
    <w:p>
      <w:pPr/>
      <w:r>
        <w:rPr/>
        <w:t xml:space="preserve">conformité au référentiel QB 46</w:t>
      </w:r>
    </w:p>
    <w:p>
      <w:pPr>
        <w:ind w:left="720" w:right="0"/>
      </w:pPr>
      <w:r>
        <w:rPr>
          <w:rStyle w:val="font_h2"/>
        </w:rPr>
        <w:t xml:space="preserve">10.2. Fabrication du mortier</w:t>
      </w:r>
    </w:p>
    <w:p>
      <w:pPr>
        <w:ind w:left="1440" w:right="0"/>
      </w:pPr>
      <w:r>
        <w:rPr>
          <w:rStyle w:val="font_h3"/>
        </w:rPr>
        <w:t xml:space="preserve">10.2.1. Généralités</w:t>
      </w:r>
    </w:p>
    <w:p>
      <w:pPr/>
      <w:r>
        <w:rPr/>
        <w:t xml:space="preserve">Validé par le Groupe Spécialisé le 15/10/2020</w:t>
      </w:r>
    </w:p>
    <w:p>
      <w:pPr/>
      <w:r>
        <w:rPr>
          <w:b/>
          <w:bCs/>
        </w:rPr>
        <w:t xml:space="preserve">Description</w:t>
      </w:r>
    </w:p>
    <w:p>
      <w:pPr/>
      <w:r>
        <w:rPr/>
        <w:t xml:space="preserve">Indiquer le mode de distribution.Décrire l'ordre d'incorporation des matériaux ainsi que le mode de malaxage.Préciser les ajouts éventuels au moment de la fabrication et dans quel cas.L'étalement départ unité de production doit être précisé.</w:t>
      </w:r>
    </w:p>
    <w:p>
      <w:pPr/>
      <w:r>
        <w:rPr/>
        <w:t xml:space="preserve">Le Groupe a émis une jurisprudence concernant les procédés de chapes fluides revendiquant leur fabrication selon 2 modes de distribution (centrale mobile et centrale à béton) : </w:t>
      </w:r>
    </w:p>
    <w:p>
      <w:pPr>
        <w:pPr/>
        <w:numPr>
          <w:ilvl w:val="0"/>
          <w:numId w:val="14"/>
        </w:numPr>
      </w:pPr>
      <w:r>
        <w:rPr/>
        <w:t xml:space="preserve">Les caractéristiques du procédé de chape fluide en sortie des deux centres de fabrication se doivent d’être strictement équivalentes afin d’ôter toutes confusions possibles vis-à-vis de l’applicateur final :o   basée sur le même concept de formulation, la formule se doit d’être identique (liant et adjuvantation à dosage identique pour un sable donné),o   les propriétés du mortier gâché à l’état frais devront être similaires : rhéologie de la chape (étalement initial, maintien d’étalement), masse volumique, temps de prise,o   selon les revendications de la chape, les performances mécaniques à l’état durci devront satisfaire les revendications du DTA : résistances mécaniques, cohésion de surface, etc.,o   il importe de garantir une traçabilité équivalente des pesées et des informations disponibles sur les bons de livraison que ce soit en centrale à béton ou en centrale mobile. </w:t>
      </w:r>
    </w:p>
    <w:p>
      <w:pPr>
        <w:pPr/>
        <w:numPr>
          <w:ilvl w:val="0"/>
          <w:numId w:val="14"/>
        </w:numPr>
      </w:pPr>
      <w:r>
        <w:rPr/>
        <w:t xml:space="preserve">Il convient de mettre en place un module de formation spécifique décrivant les 2 modes de fabrication lors de la formation des applicateurs.</w:t>
      </w:r>
    </w:p>
    <w:p>
      <w:pPr>
        <w:pPr/>
        <w:numPr>
          <w:ilvl w:val="0"/>
          <w:numId w:val="14"/>
        </w:numPr>
      </w:pPr>
      <w:r>
        <w:rPr/>
        <w:t xml:space="preserve">Le maintien d’étalement devra être caractérisé pour toute validation de formule et les résultats formalisés dans les dossiers de demande d’agrément des centrales mobiles et des centrales à béton en respectant les revendications du DTA.</w:t>
      </w:r>
    </w:p>
    <w:p>
      <w:pPr>
        <w:pPr/>
        <w:numPr>
          <w:ilvl w:val="0"/>
          <w:numId w:val="14"/>
        </w:numPr>
      </w:pPr>
      <w:r>
        <w:rPr/>
        <w:t xml:space="preserve">Deux listes de centrales agréées seront associées au DTA. Une liste pour les centrales à béton fixes et une liste pour les centrales mobiles. De plus, les experts ont acté qu’un audit pour chaque mode de distribution devra être réalisé chaque année.</w:t>
      </w:r>
    </w:p>
    <w:p>
      <w:pPr/>
      <w:r>
        <w:rPr>
          <w:b/>
          <w:bCs/>
        </w:rPr>
        <w:t xml:space="preserve">Justification</w:t>
      </w:r>
    </w:p>
    <w:p>
      <w:pPr/>
      <w:r>
        <w:rPr/>
        <w:t xml:space="preserve">Il a notamment été rappelé qu’au-delà de caractériser deux modes de distribution, il était nécessaire de s’assurer que les deux formules testées présentent bien un sable différent. Le groupe a donc acté:</w:t>
      </w:r>
    </w:p>
    <w:p>
      <w:pPr>
        <w:pPr/>
        <w:numPr>
          <w:ilvl w:val="0"/>
          <w:numId w:val="15"/>
        </w:numPr>
      </w:pPr>
      <w:r>
        <w:rPr/>
        <w:t xml:space="preserve">Dans le cadre d’une nouvelle demande d’Avis Technique revendiquant un double mode de distribution : Les deux modes de distribution décrits dans le dossier technique sont évalués selon le programme d’essais complet de référence. Un soin particulier sera apporté à la sélection des centres de production en fonction du sable utilisé afin de réaliser les essais sur deux natures de sable différentes. Un audit de démarrage d’un des deux centres de distribution est réalisé incluant des prélèvements réalisés sur chantier.</w:t>
      </w:r>
    </w:p>
    <w:p>
      <w:pPr>
        <w:pPr/>
        <w:numPr>
          <w:ilvl w:val="0"/>
          <w:numId w:val="15"/>
        </w:numPr>
      </w:pPr>
      <w:r>
        <w:rPr/>
        <w:t xml:space="preserve">Dans le cadre de l’ajout d’un nouveau de mode de distribution à un procédé déjà sous Avis Technique : Le mode de distribution nouvellement introduit dans le dossier technique est évalué selon le programme d’essais complet de référence. Un audit de démarrage du nouveau centre de distribution est réalisé incluant des prélèvements réalisés sur chantier. Un essai de maintien ainsi qu’un essai de résistance mécanique sont réalisés à partir des matériaux du centre de distribution initialement présent dans le DTA. Un soin particulier sera apporté à la sélection des centres de production en fonction du sable utilisé afin de réaliser les essais sur deux natures de sable différentes. </w:t>
      </w:r>
    </w:p>
    <w:p>
      <w:pPr>
        <w:pPr/>
        <w:numPr>
          <w:ilvl w:val="0"/>
          <w:numId w:val="15"/>
        </w:numPr>
      </w:pPr>
      <w:r>
        <w:rPr/>
        <w:t xml:space="preserve">Dans le cadre de la révision d’un Avis Technique revendiquant déjà plusieurs modes de distribution : Un des modes de distribution est évalué selon le programme d’essais complet de référence. L’autre mode de distribution est évalué par le biais d’un essai de maintien ainsi qu’un essai de résistance mécanique. Un soin particulier sera apporté à la sélection des centres de production en fonction du sable utilisé afin de réaliser les essais sur deux natures de sable différentes.</w:t>
      </w:r>
    </w:p>
    <w:p>
      <w:pPr>
        <w:ind w:left="1440" w:right="0"/>
      </w:pPr>
      <w:r>
        <w:rPr>
          <w:rStyle w:val="font_h3"/>
        </w:rPr>
        <w:t xml:space="preserve">10.2.2. Réception et réglage sur chantier</w:t>
      </w:r>
    </w:p>
    <w:p>
      <w:pPr/>
      <w:r>
        <w:rPr/>
        <w:t xml:space="preserve">Validé par le Groupe Spécialisé le 02/10/2018</w:t>
      </w:r>
    </w:p>
    <w:p>
      <w:pPr/>
      <w:r>
        <w:rPr>
          <w:b/>
          <w:bCs/>
        </w:rPr>
        <w:t xml:space="preserve">Description</w:t>
      </w:r>
    </w:p>
    <w:p>
      <w:pPr/>
      <w:r>
        <w:rPr/>
        <w:t xml:space="preserve">La consistance du produit doit être vérifiée par l'applicateur, en présence du chauffeur du camion à réception et avant démarrage du chantier (mesure de l'étalement).La fluidité peut être ajustée conformément au cahier des charges de la formule propre à la centrale par ajout d'eau si nécessaire. Décrire la procédure pour l'ajout d'eau autorisé.</w:t>
      </w:r>
    </w:p>
    <w:p>
      <w:pPr>
        <w:ind w:left="1440" w:right="0"/>
      </w:pPr>
      <w:r>
        <w:rPr>
          <w:rStyle w:val="font_h3"/>
        </w:rPr>
        <w:t xml:space="preserve">10.2.3. Cas des camions mobiles</w:t>
      </w:r>
    </w:p>
    <w:p>
      <w:pPr>
        <w:ind w:left="720" w:right="0"/>
      </w:pPr>
      <w:r>
        <w:rPr>
          <w:rStyle w:val="font_h2"/>
        </w:rPr>
        <w:t xml:space="preserve">10.3. Contrôles</w:t>
      </w:r>
    </w:p>
    <w:p>
      <w:pPr>
        <w:ind w:left="1440" w:right="0"/>
      </w:pPr>
      <w:r>
        <w:rPr>
          <w:rStyle w:val="font_h3"/>
        </w:rPr>
        <w:t xml:space="preserve">10.3.1. Nature des contrôles qualité</w:t>
      </w:r>
    </w:p>
    <w:p>
      <w:pPr>
        <w:ind w:left="2160" w:right="0"/>
      </w:pPr>
      <w:r>
        <w:rPr>
          <w:rStyle w:val="font_h3"/>
        </w:rPr>
        <w:t xml:space="preserve">10.3.1.1. Nature des contrôles qualité</w:t>
      </w:r>
    </w:p>
    <w:p>
      <w:pPr/>
      <w:r>
        <w:rPr/>
        <w:t xml:space="preserve">Validé par le Groupe Spécialisé le 02/10/2018</w:t>
      </w:r>
    </w:p>
    <w:p>
      <w:pPr/>
      <w:r>
        <w:rPr>
          <w:b/>
          <w:bCs/>
        </w:rPr>
        <w:t xml:space="preserve">Description</w:t>
      </w:r>
    </w:p>
    <w:p>
      <w:pPr/>
      <w:r>
        <w:rPr/>
        <w:t xml:space="preserve">Décrire les contrôles effectués sur mortier frais et sur mortier durci avec leur fréquence.</w:t>
      </w:r>
    </w:p>
    <w:p>
      <w:pPr/>
      <w:r>
        <w:rPr>
          <w:b/>
          <w:bCs/>
        </w:rPr>
        <w:t xml:space="preserve">Justification</w:t>
      </w:r>
    </w:p>
    <w:p>
      <w:pPr/>
      <w:r>
        <w:rPr/>
        <w:t xml:space="preserve">Justification du suivi de fabrication:</w:t>
      </w:r>
    </w:p>
    <w:p>
      <w:pPr>
        <w:pPr/>
        <w:numPr>
          <w:ilvl w:val="0"/>
          <w:numId w:val="16"/>
        </w:numPr>
      </w:pPr>
      <w:r>
        <w:rPr/>
        <w:t xml:space="preserve">Pour les chapes fabriquées en centrales mobiles, centrales à béton, silos mobile : prélèvement mensuel pour flexion-compression à adresser au CSTB tous les 6 mois et contrôle du retrait suivant spécificités de la chape.</w:t>
      </w:r>
    </w:p>
    <w:p>
      <w:pPr>
        <w:pPr/>
        <w:numPr>
          <w:ilvl w:val="0"/>
          <w:numId w:val="16"/>
        </w:numPr>
      </w:pPr>
      <w:r>
        <w:rPr/>
        <w:t xml:space="preserve">Pour les chapes fabriquées en usine :prélèvement mensuel pour flexion-compression et contrôle du retrait suivant spécificités de la chape.</w:t>
      </w:r>
    </w:p>
    <w:p>
      <w:pPr>
        <w:pPr/>
        <w:numPr>
          <w:ilvl w:val="0"/>
          <w:numId w:val="16"/>
        </w:numPr>
      </w:pPr>
      <w:r>
        <w:rPr/>
        <w:t xml:space="preserve">Visite d’une centrale de fabrication, du laboratoire d’essais de suivi.</w:t>
      </w:r>
    </w:p>
    <w:p>
      <w:pPr>
        <w:ind w:left="2160" w:right="0"/>
      </w:pPr>
      <w:r>
        <w:rPr>
          <w:rStyle w:val="font_h3"/>
        </w:rPr>
        <w:t xml:space="preserve">10.3.1.2. Exigence contrôle qualité et certification QB46</w:t>
      </w:r>
    </w:p>
    <w:p>
      <w:pPr>
        <w:ind w:left="1440" w:right="0"/>
      </w:pPr>
      <w:r>
        <w:rPr>
          <w:rStyle w:val="font_h3"/>
        </w:rPr>
        <w:t xml:space="preserve">10.3.2. Suivi de fabrication des additifs</w:t>
      </w:r>
    </w:p>
    <w:p>
      <w:pPr/>
      <w:r>
        <w:rPr>
          <w:rStyle w:val="font_h1"/>
        </w:rPr>
        <w:t xml:space="preserve">11. Mention des justificatifs</w:t>
      </w:r>
    </w:p>
    <w:p>
      <w:pPr/>
      <w:r>
        <w:rPr>
          <w:rStyle w:val="font_h1"/>
        </w:rPr>
        <w:t xml:space="preserve">12. Références chantier</w:t>
      </w:r>
    </w:p>
    <w:p>
      <w:pPr>
        <w:ind w:left="720" w:right="0"/>
      </w:pPr>
      <w:r>
        <w:rPr>
          <w:rStyle w:val="font_h2"/>
        </w:rPr>
        <w:t xml:space="preserve">12.1. Généralités</w:t>
      </w:r>
    </w:p>
    <w:p>
      <w:pPr/>
      <w:r>
        <w:rPr/>
        <w:t xml:space="preserve">Validé par le Groupe Spécialisé le 02/10/2018</w:t>
      </w:r>
    </w:p>
    <w:p>
      <w:pPr/>
      <w:r>
        <w:rPr>
          <w:b/>
          <w:bCs/>
        </w:rPr>
        <w:t xml:space="preserve">Description</w:t>
      </w:r>
    </w:p>
    <w:p>
      <w:pPr>
        <w:pPr/>
        <w:numPr>
          <w:ilvl w:val="0"/>
          <w:numId w:val="17"/>
        </w:numPr>
      </w:pPr>
      <w:r>
        <w:rPr/>
        <w:t xml:space="preserve">Préciser la surface de chape appliquée en France et depuis quand.</w:t>
      </w:r>
    </w:p>
    <w:p>
      <w:pPr>
        <w:pPr/>
        <w:numPr>
          <w:ilvl w:val="0"/>
          <w:numId w:val="17"/>
        </w:numPr>
      </w:pPr>
      <w:r>
        <w:rPr/>
        <w:t xml:space="preserve">Préciser si le procédé dispose d'une Déclaration Environnementale (DE).</w:t>
      </w:r>
    </w:p>
    <w:p>
      <w:pPr/>
      <w:r>
        <w:rPr>
          <w:b/>
          <w:bCs/>
        </w:rPr>
        <w:t xml:space="preserve">Justification</w:t>
      </w:r>
    </w:p>
    <w:p>
      <w:pPr>
        <w:pPr/>
        <w:numPr>
          <w:ilvl w:val="0"/>
          <w:numId w:val="18"/>
        </w:numPr>
      </w:pPr>
      <w:r>
        <w:rPr/>
        <w:t xml:space="preserve">Liste de références de chantiers détaillée, les éléments ci-après sont habituellement demandés sous forme de tableau récapitulatif (10 chantiers représentatifs ou 5000 m²) :</w:t>
      </w:r>
    </w:p>
    <w:p>
      <w:pPr>
        <w:pPr/>
        <w:numPr>
          <w:ilvl w:val="0"/>
          <w:numId w:val="19"/>
        </w:numPr>
      </w:pPr>
      <w:r>
        <w:rPr/>
        <w:t xml:space="preserve">L’adresse du chantier,</w:t>
      </w:r>
    </w:p>
    <w:p>
      <w:pPr>
        <w:pPr/>
        <w:numPr>
          <w:ilvl w:val="0"/>
          <w:numId w:val="19"/>
        </w:numPr>
      </w:pPr>
      <w:r>
        <w:rPr/>
        <w:t xml:space="preserve">La date de mise en œuvre,</w:t>
      </w:r>
    </w:p>
    <w:p>
      <w:pPr>
        <w:pPr/>
        <w:numPr>
          <w:ilvl w:val="0"/>
          <w:numId w:val="19"/>
        </w:numPr>
      </w:pPr>
      <w:r>
        <w:rPr/>
        <w:t xml:space="preserve">Les noms, adresses et e-mail du maître d’œuvre, maître d’ouvrage, architecte,</w:t>
      </w:r>
    </w:p>
    <w:p>
      <w:pPr>
        <w:pPr/>
        <w:numPr>
          <w:ilvl w:val="0"/>
          <w:numId w:val="19"/>
        </w:numPr>
      </w:pPr>
      <w:r>
        <w:rPr/>
        <w:t xml:space="preserve">La nature du support,</w:t>
      </w:r>
    </w:p>
    <w:p>
      <w:pPr>
        <w:pPr/>
        <w:numPr>
          <w:ilvl w:val="0"/>
          <w:numId w:val="19"/>
        </w:numPr>
      </w:pPr>
      <w:r>
        <w:rPr/>
        <w:t xml:space="preserve">Existence de plancher chauffant,</w:t>
      </w:r>
    </w:p>
    <w:p>
      <w:pPr>
        <w:pPr/>
        <w:numPr>
          <w:ilvl w:val="0"/>
          <w:numId w:val="19"/>
        </w:numPr>
      </w:pPr>
      <w:r>
        <w:rPr/>
        <w:t xml:space="preserve">Épaisseurs d’application,</w:t>
      </w:r>
    </w:p>
    <w:p>
      <w:pPr>
        <w:pPr/>
        <w:numPr>
          <w:ilvl w:val="0"/>
          <w:numId w:val="19"/>
        </w:numPr>
      </w:pPr>
      <w:r>
        <w:rPr/>
        <w:t xml:space="preserve">Fractionnement effectué,</w:t>
      </w:r>
    </w:p>
    <w:p>
      <w:pPr>
        <w:pPr/>
        <w:numPr>
          <w:ilvl w:val="0"/>
          <w:numId w:val="19"/>
        </w:numPr>
      </w:pPr>
      <w:r>
        <w:rPr/>
        <w:t xml:space="preserve">Ponçage ou non ponçage de la chape.</w:t>
      </w:r>
    </w:p>
    <w:p>
      <w:pPr>
        <w:pPr/>
        <w:numPr>
          <w:ilvl w:val="0"/>
          <w:numId w:val="20"/>
        </w:numPr>
      </w:pPr>
      <w:r>
        <w:rPr/>
        <w:t xml:space="preserve">Aptitude à l'emploi du procédé:</w:t>
      </w:r>
    </w:p>
    <w:p>
      <w:pPr>
        <w:pPr/>
        <w:numPr>
          <w:ilvl w:val="1"/>
          <w:numId w:val="20"/>
        </w:numPr>
      </w:pPr>
      <w:r>
        <w:rPr/>
        <w:t xml:space="preserve">Visite de chantier.</w:t>
      </w:r>
    </w:p>
    <w:p>
      <w:pPr>
        <w:ind w:left="720" w:right="0"/>
      </w:pPr>
      <w:r>
        <w:rPr>
          <w:rStyle w:val="font_h2"/>
        </w:rPr>
        <w:t xml:space="preserve">12.2. Exigences concernant les références chantier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F12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413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8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4F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4C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BD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6D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FE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4E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69E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7A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097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2026-07-28T23:11:02+02:00</dcterms:created>
  <dcterms:modified xsi:type="dcterms:W3CDTF">2026-07-28T23:11:02+02:00</dcterms:modified>
</cp:coreProperties>
</file>

<file path=docProps/custom.xml><?xml version="1.0" encoding="utf-8"?>
<Properties xmlns="http://schemas.openxmlformats.org/officeDocument/2006/custom-properties" xmlns:vt="http://schemas.openxmlformats.org/officeDocument/2006/docPropsVTypes"/>
</file>