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13 - Édité le 30/10/2026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13 « Procédés pour la mise en œuvre des revêtements »</w:t>
      </w:r>
    </w:p>
    <w:p>
      <w:pPr/>
      <w:r>
        <w:rPr>
          <w:rStyle w:val="font_default"/>
        </w:rPr>
        <w:t xml:space="preserve">Famille de produits ou procédés : </w:t>
      </w:r>
      <w:r>
        <w:rPr>
          <w:rStyle w:val="font_h3"/>
        </w:rPr>
        <w:t xml:space="preserve">Chape fluide à base de ciment</w:t>
      </w:r>
    </w:p>
    <w:p>
      <w:pPr/>
      <w:r>
        <w:rPr>
          <w:rStyle w:val="font_h1"/>
        </w:rPr>
        <w:t xml:space="preserve">1. Description</w:t>
      </w:r>
    </w:p>
    <w:p>
      <w:pPr>
        <w:ind w:left="720" w:right="0"/>
      </w:pPr>
      <w:r>
        <w:rPr>
          <w:rStyle w:val="font_h2"/>
        </w:rPr>
        <w:t xml:space="preserve">1.1. Principe</w:t>
      </w:r>
    </w:p>
    <w:p>
      <w:pPr/>
      <w:r>
        <w:rPr/>
        <w:t xml:space="preserve">Validé par le Groupe Spécialisé le 02/10/2018</w:t>
      </w:r>
    </w:p>
    <w:p>
      <w:pPr/>
      <w:r>
        <w:rPr>
          <w:b/>
          <w:bCs/>
        </w:rPr>
        <w:t xml:space="preserve">Description</w:t>
      </w:r>
    </w:p>
    <w:p>
      <w:pPr/>
      <w:r>
        <w:rPr/>
        <w:t xml:space="preserve">Préciser :</w:t>
      </w:r>
    </w:p>
    <w:p>
      <w:pPr>
        <w:pPr/>
        <w:numPr>
          <w:ilvl w:val="0"/>
          <w:numId w:val="9"/>
        </w:numPr>
      </w:pPr>
      <w:r>
        <w:rPr/>
        <w:t xml:space="preserve">la classe mécanique de la chape suivant la norme NF EN 13813</w:t>
      </w:r>
    </w:p>
    <w:p>
      <w:pPr>
        <w:pPr/>
        <w:numPr>
          <w:ilvl w:val="0"/>
          <w:numId w:val="9"/>
        </w:numPr>
      </w:pPr>
      <w:r>
        <w:rPr/>
        <w:t xml:space="preserve">le classement UPEC des locaux visés</w:t>
      </w:r>
    </w:p>
    <w:p>
      <w:pPr>
        <w:pPr/>
        <w:numPr>
          <w:ilvl w:val="0"/>
          <w:numId w:val="9"/>
        </w:numPr>
      </w:pPr>
      <w:r>
        <w:rPr/>
        <w:t xml:space="preserve">le mode de distribution</w:t>
      </w:r>
    </w:p>
    <w:p>
      <w:pPr>
        <w:pPr/>
        <w:numPr>
          <w:ilvl w:val="0"/>
          <w:numId w:val="9"/>
        </w:numPr>
      </w:pPr>
      <w:r>
        <w:rPr/>
        <w:t xml:space="preserve">le suivi de la Société détentrice du DTA</w:t>
      </w:r>
    </w:p>
    <w:p>
      <w:pPr>
        <w:ind w:left="720" w:right="0"/>
      </w:pPr>
      <w:r>
        <w:rPr>
          <w:rStyle w:val="font_h2"/>
        </w:rPr>
        <w:t xml:space="preserve">1.2. Caractéristiques des composants</w:t>
      </w:r>
    </w:p>
    <w:p>
      <w:pPr>
        <w:ind w:left="1440" w:right="0"/>
      </w:pPr>
      <w:r>
        <w:rPr>
          <w:rStyle w:val="font_h3"/>
        </w:rPr>
        <w:t xml:space="preserve">1.2.1. mortier de chape</w:t>
      </w:r>
    </w:p>
    <w:p>
      <w:pPr>
        <w:ind w:left="2160" w:right="0"/>
      </w:pPr>
      <w:r>
        <w:rPr>
          <w:rStyle w:val="font_h3"/>
        </w:rPr>
        <w:t xml:space="preserve">1.2.1.1. Caractéristiques du mortier gâché</w:t>
      </w:r>
    </w:p>
    <w:p>
      <w:pPr>
        <w:ind w:left="2160" w:right="0"/>
      </w:pPr>
      <w:r>
        <w:rPr>
          <w:rStyle w:val="font_h3"/>
        </w:rPr>
        <w:t xml:space="preserve">1.2.1.2. Etalement</w:t>
      </w:r>
    </w:p>
    <w:p>
      <w:pPr>
        <w:ind w:left="2160" w:right="0"/>
      </w:pPr>
      <w:r>
        <w:rPr>
          <w:rStyle w:val="font_h3"/>
        </w:rPr>
        <w:t xml:space="preserve">1.2.1.3. Caractéristiques du mortier durci</w:t>
      </w:r>
    </w:p>
    <w:p>
      <w:pPr>
        <w:ind w:left="1440" w:right="0"/>
      </w:pPr>
      <w:r>
        <w:rPr>
          <w:rStyle w:val="font_h3"/>
        </w:rPr>
        <w:t xml:space="preserve">1.2.2. Caractéristique de l'eau</w:t>
      </w:r>
    </w:p>
    <w:p>
      <w:pPr/>
      <w:r>
        <w:rPr/>
        <w:t xml:space="preserve">Validé par le Groupe Spécialisé le 02/10/2018</w:t>
      </w:r>
    </w:p>
    <w:p>
      <w:pPr/>
      <w:r>
        <w:rPr>
          <w:b/>
          <w:bCs/>
        </w:rPr>
        <w:t xml:space="preserve">Description</w:t>
      </w:r>
    </w:p>
    <w:p>
      <w:pPr/>
      <w:r>
        <w:rPr/>
        <w:t xml:space="preserve">Conformité à la norme EN 1008</w:t>
      </w:r>
    </w:p>
    <w:p>
      <w:pPr>
        <w:ind w:left="1440" w:right="0"/>
      </w:pPr>
      <w:r>
        <w:rPr>
          <w:rStyle w:val="font_h3"/>
        </w:rPr>
        <w:t xml:space="preserve">1.2.3. Ciments</w:t>
      </w:r>
    </w:p>
    <w:p>
      <w:pPr>
        <w:ind w:left="1440" w:right="0"/>
      </w:pPr>
      <w:r>
        <w:rPr>
          <w:rStyle w:val="font_h3"/>
        </w:rPr>
        <w:t xml:space="preserve">1.2.4. Fibres</w:t>
      </w:r>
    </w:p>
    <w:p>
      <w:pPr/>
      <w:r>
        <w:rPr/>
        <w:t xml:space="preserve">Validé par le Groupe Spécialisé le 02/10/2018</w:t>
      </w:r>
    </w:p>
    <w:p>
      <w:pPr/>
      <w:r>
        <w:rPr>
          <w:b/>
          <w:bCs/>
        </w:rPr>
        <w:t xml:space="preserve">Description</w:t>
      </w:r>
    </w:p>
    <w:p>
      <w:pPr/>
      <w:r>
        <w:rPr/>
        <w:t xml:space="preserve">Préciser les caractéristiques des fibres employées (micro-synthétiques, métalliques et/ou macro-synthétiques) et leur dosage.</w:t>
      </w:r>
    </w:p>
    <w:p>
      <w:pPr>
        <w:ind w:left="1440" w:right="0"/>
      </w:pPr>
      <w:r>
        <w:rPr>
          <w:rStyle w:val="font_h3"/>
        </w:rPr>
        <w:t xml:space="preserve">1.2.5. Produits associés</w:t>
      </w:r>
    </w:p>
    <w:p>
      <w:pPr>
        <w:ind w:left="1440" w:right="0"/>
      </w:pPr>
      <w:r>
        <w:rPr>
          <w:rStyle w:val="font_h3"/>
        </w:rPr>
        <w:t xml:space="preserve">1.2.6. Produits de cure</w:t>
      </w:r>
    </w:p>
    <w:p>
      <w:pPr>
        <w:ind w:left="720" w:right="0"/>
      </w:pPr>
      <w:r>
        <w:rPr>
          <w:rStyle w:val="font_h2"/>
        </w:rPr>
        <w:t xml:space="preserve">1.3. Mode de commercialisation</w:t>
      </w:r>
    </w:p>
    <w:p>
      <w:pPr/>
      <w:r>
        <w:rPr/>
        <w:t xml:space="preserve">Validé par le Groupe Spécialisé le 02/10/2018</w:t>
      </w:r>
    </w:p>
    <w:p>
      <w:pPr/>
      <w:r>
        <w:rPr>
          <w:b/>
          <w:bCs/>
        </w:rPr>
        <w:t xml:space="preserve">Description</w:t>
      </w:r>
    </w:p>
    <w:p>
      <w:pPr/>
      <w:r>
        <w:rPr/>
        <w:t xml:space="preserve">Définir le mode de distribution de la chape ainsi que la traçabilité mise en place.</w:t>
      </w:r>
    </w:p>
    <w:p>
      <w:pPr/>
      <w:r>
        <w:rPr>
          <w:b/>
          <w:bCs/>
        </w:rPr>
        <w:t xml:space="preserve">Justification</w:t>
      </w:r>
    </w:p>
    <w:p>
      <w:pPr>
        <w:pPr/>
        <w:numPr>
          <w:ilvl w:val="0"/>
          <w:numId w:val="10"/>
        </w:numPr>
      </w:pPr>
      <w:r>
        <w:rPr/>
        <w:t xml:space="preserve">Liste des unités de production agréées</w:t>
      </w:r>
    </w:p>
    <w:p>
      <w:pPr>
        <w:pPr/>
        <w:numPr>
          <w:ilvl w:val="0"/>
          <w:numId w:val="10"/>
        </w:numPr>
      </w:pPr>
      <w:r>
        <w:rPr/>
        <w:t xml:space="preserve">Contrat d'engagement titulaire/CSTB</w:t>
      </w:r>
    </w:p>
    <w:p>
      <w:pPr>
        <w:pPr/>
        <w:numPr>
          <w:ilvl w:val="0"/>
          <w:numId w:val="10"/>
        </w:numPr>
      </w:pPr>
      <w:r>
        <w:rPr/>
        <w:t xml:space="preserve">Description des moyens d’identification sur chantiers : Etiquette de chantier</w:t>
      </w:r>
    </w:p>
    <w:p>
      <w:pPr>
        <w:pPr/>
        <w:numPr>
          <w:ilvl w:val="0"/>
          <w:numId w:val="10"/>
        </w:numPr>
      </w:pPr>
      <w:r>
        <w:rPr/>
        <w:t xml:space="preserve">Moyens de traçabilité (proposition suivant le demandeur)</w:t>
      </w:r>
    </w:p>
    <w:p>
      <w:pPr>
        <w:ind w:left="720" w:right="0"/>
      </w:pPr>
      <w:r>
        <w:rPr>
          <w:rStyle w:val="font_h2"/>
        </w:rPr>
        <w:t xml:space="preserve">1.4. Données environnementales</w:t>
      </w:r>
    </w:p>
    <w:p>
      <w:pPr/>
      <w:r>
        <w:rPr>
          <w:rStyle w:val="font_h1"/>
        </w:rPr>
        <w:t xml:space="preserve">2. Domaine d'emploi</w:t>
      </w:r>
    </w:p>
    <w:p>
      <w:pPr>
        <w:ind w:left="720" w:right="0"/>
      </w:pPr>
      <w:r>
        <w:rPr>
          <w:rStyle w:val="font_h2"/>
        </w:rPr>
        <w:t xml:space="preserve">2.1. Zone géographique</w:t>
      </w:r>
    </w:p>
    <w:p>
      <w:pPr>
        <w:ind w:left="720" w:right="0"/>
      </w:pPr>
      <w:r>
        <w:rPr>
          <w:rStyle w:val="font_h2"/>
        </w:rPr>
        <w:t xml:space="preserve">2.2. Ouvrages visés</w:t>
      </w:r>
    </w:p>
    <w:p>
      <w:pPr/>
      <w:r>
        <w:rPr/>
        <w:t xml:space="preserve">Validé par le Groupe Spécialisé le 02/10/2018</w:t>
      </w:r>
    </w:p>
    <w:p>
      <w:pPr/>
      <w:r>
        <w:rPr>
          <w:b/>
          <w:bCs/>
        </w:rPr>
        <w:t xml:space="preserve">Description</w:t>
      </w:r>
    </w:p>
    <w:p>
      <w:pPr/>
      <w:r>
        <w:rPr/>
        <w:t xml:space="preserve">Le Domaine d'application, les supports admissibles et la nature des revêtements et des colles associées sont définis dans le "Cahier des Prescriptions Techniques d'Exécution des chapes fluides ciment" (e-cahier du CSTB 3774_V2). Indiquer à ce niveau les planchers chauffants qui sont visés.</w:t>
      </w:r>
    </w:p>
    <w:p>
      <w:pPr/>
      <w:r>
        <w:rPr>
          <w:b/>
          <w:bCs/>
        </w:rPr>
        <w:t xml:space="preserve">Justification</w:t>
      </w:r>
    </w:p>
    <w:p>
      <w:pPr>
        <w:pPr/>
        <w:numPr>
          <w:ilvl w:val="0"/>
          <w:numId w:val="11"/>
        </w:numPr>
      </w:pPr>
      <w:r>
        <w:rPr/>
        <w:t xml:space="preserve">rapport d'essais</w:t>
      </w:r>
    </w:p>
    <w:p>
      <w:pPr>
        <w:ind w:left="720" w:right="0"/>
      </w:pPr>
      <w:r>
        <w:rPr>
          <w:rStyle w:val="font_h2"/>
        </w:rPr>
        <w:t xml:space="preserve">2.3. Epaisseur de la chape - Pose de cloisons légères</w:t>
      </w:r>
    </w:p>
    <w:p>
      <w:pPr/>
      <w:r>
        <w:rPr/>
        <w:t xml:space="preserve">Validé par le Groupe Spécialisé le 02/10/2018</w:t>
      </w:r>
    </w:p>
    <w:p>
      <w:pPr/>
      <w:r>
        <w:rPr>
          <w:b/>
          <w:bCs/>
        </w:rPr>
        <w:t xml:space="preserve">Description</w:t>
      </w:r>
    </w:p>
    <w:p>
      <w:pPr/>
      <w:r>
        <w:rPr/>
        <w:t xml:space="preserve">Inclure un tableau précisant les épaisseurs minimales de chape visées en fonction des configurations de pose.Préciser les sous-couches isolantes visées ainsi que la masse des cloisons légères autorisées.</w:t>
      </w:r>
    </w:p>
    <w:p>
      <w:pPr>
        <w:ind w:left="720" w:right="0"/>
      </w:pPr>
      <w:r>
        <w:rPr>
          <w:rStyle w:val="font_h2"/>
        </w:rPr>
        <w:t xml:space="preserve">2.4. Aptitude à l'emploi du procédé ( comportement au feu, durabilité...)</w:t>
      </w:r>
    </w:p>
    <w:p>
      <w:pPr/>
      <w:r>
        <w:rPr>
          <w:rStyle w:val="font_h1"/>
        </w:rPr>
        <w:t xml:space="preserve">3. Dispositions de conception</w:t>
      </w:r>
    </w:p>
    <w:p>
      <w:pPr>
        <w:ind w:left="720" w:right="0"/>
      </w:pPr>
      <w:r>
        <w:rPr>
          <w:rStyle w:val="font_h2"/>
        </w:rPr>
        <w:t xml:space="preserve">3.1. Description</w:t>
      </w:r>
    </w:p>
    <w:p>
      <w:pPr/>
      <w:r>
        <w:rPr>
          <w:rStyle w:val="font_h1"/>
        </w:rPr>
        <w:t xml:space="preserve">4. Dispositions de mise en oeuvre</w:t>
      </w:r>
    </w:p>
    <w:p>
      <w:pPr>
        <w:ind w:left="720" w:right="0"/>
      </w:pPr>
      <w:r>
        <w:rPr>
          <w:rStyle w:val="font_h2"/>
        </w:rPr>
        <w:t xml:space="preserve">4.1. Généralités</w:t>
      </w:r>
    </w:p>
    <w:p>
      <w:pPr>
        <w:ind w:left="720" w:right="0"/>
      </w:pPr>
      <w:r>
        <w:rPr>
          <w:rStyle w:val="font_h2"/>
        </w:rPr>
        <w:t xml:space="preserve">4.2. Conditions générales de mise en oeuvre de la chape</w:t>
      </w:r>
    </w:p>
    <w:p>
      <w:pPr>
        <w:ind w:left="1440" w:right="0"/>
      </w:pPr>
      <w:r>
        <w:rPr>
          <w:rStyle w:val="font_h3"/>
        </w:rPr>
        <w:t xml:space="preserve">4.2.1. Travaux préliminaires</w:t>
      </w:r>
    </w:p>
    <w:p>
      <w:pPr>
        <w:ind w:left="1440" w:right="0"/>
      </w:pPr>
      <w:r>
        <w:rPr>
          <w:rStyle w:val="font_h3"/>
        </w:rPr>
        <w:t xml:space="preserve">4.2.2. Coulage de la chape</w:t>
      </w:r>
    </w:p>
    <w:p>
      <w:pPr/>
      <w:r>
        <w:rPr/>
        <w:t xml:space="preserve">Validé par le Groupe Spécialisé le 24/06/2021</w:t>
      </w:r>
    </w:p>
    <w:p>
      <w:pPr/>
      <w:r>
        <w:rPr>
          <w:b/>
          <w:bCs/>
        </w:rPr>
        <w:t xml:space="preserve">Description</w:t>
      </w:r>
    </w:p>
    <w:p>
      <w:pPr/>
      <w:r>
        <w:rPr/>
        <w:t xml:space="preserve">Décrire la fourchette d'étalement autorisée sur chantier.Le déroulement du coulage est décrit dans le "Cahier des Prescriptions Technique d'Exécution des chapes fluides à base de ciment" (e-cahier du CSTB - cahier n° 3774_V2).</w:t>
      </w:r>
    </w:p>
    <w:p>
      <w:pPr/>
      <w:r>
        <w:rPr>
          <w:b/>
          <w:bCs/>
        </w:rPr>
        <w:t xml:space="preserve">Justification</w:t>
      </w:r>
    </w:p>
    <w:p>
      <w:pPr/>
      <w:r>
        <w:rPr/>
        <w:t xml:space="preserve">Il convient d’apporter les éléments de justification sur l’efficacité de la cure interne pour la chape  afin de s’assurer que le séchage est homogène, les courbes de cinétique de séchage de la chape poncée et non poncée présentées en séance sont à compléter avec des essais de cinétique de séchage sur : une formule de chape contenant la cure intégrée, surface non poncée une formule de chape ne contenant pas la cure intégrée, surface non poncée une formule de chape avec la cure externe, surface non poncée </w:t>
      </w:r>
    </w:p>
    <w:p>
      <w:pPr/>
      <w:r>
        <w:rPr/>
        <w:t xml:space="preserve">Afin de garantir l’absence de risques de fissuration au jeune âge, des essais de retrait au jeune âge (RAJA) sont aussi attendus, comparant les effets de la cure sur le comportement dimensionnel au jeune âge de la chape.</w:t>
      </w:r>
    </w:p>
    <w:p>
      <w:pPr>
        <w:ind w:left="1440" w:right="0"/>
      </w:pPr>
      <w:r>
        <w:rPr>
          <w:rStyle w:val="font_h3"/>
        </w:rPr>
        <w:t xml:space="preserve">4.2.3. Travaux de finition</w:t>
      </w:r>
    </w:p>
    <w:p>
      <w:pPr>
        <w:ind w:left="720" w:right="0"/>
      </w:pPr>
      <w:r>
        <w:rPr>
          <w:rStyle w:val="font_h2"/>
        </w:rPr>
        <w:t xml:space="preserve">4.3. Conditions particulières de mise en oeuvre dans le cas de la réalisation d'une chape chauffante</w:t>
      </w:r>
    </w:p>
    <w:p>
      <w:pPr>
        <w:ind w:left="1440" w:right="0"/>
      </w:pPr>
      <w:r>
        <w:rPr>
          <w:rStyle w:val="font_h3"/>
        </w:rPr>
        <w:t xml:space="preserve">4.3.1. Mise en oeuvre de la chape chauffante</w:t>
      </w:r>
    </w:p>
    <w:p>
      <w:pPr>
        <w:ind w:left="1440" w:right="0"/>
      </w:pPr>
      <w:r>
        <w:rPr>
          <w:rStyle w:val="font_h3"/>
        </w:rPr>
        <w:t xml:space="preserve">4.3.2. Mise en chauffe précoce des PRE</w:t>
      </w:r>
    </w:p>
    <w:p>
      <w:pPr>
        <w:ind w:left="720" w:right="0"/>
      </w:pPr>
      <w:r>
        <w:rPr>
          <w:rStyle w:val="font_h2"/>
        </w:rPr>
        <w:t xml:space="preserve">4.4. Pose des cloisons légères et pose des revêtements de sol</w:t>
      </w:r>
    </w:p>
    <w:p>
      <w:pPr/>
      <w:r>
        <w:rPr>
          <w:rStyle w:val="font_h1"/>
        </w:rPr>
        <w:t xml:space="preserve">5. Maintien en service du produit ou procédé</w:t>
      </w:r>
    </w:p>
    <w:p>
      <w:pPr/>
      <w:r>
        <w:rPr>
          <w:rStyle w:val="font_h1"/>
        </w:rPr>
        <w:t xml:space="preserve">6. Traitement en fin de vie</w:t>
      </w:r>
    </w:p>
    <w:p>
      <w:pPr/>
      <w:r>
        <w:rPr>
          <w:rStyle w:val="font_h1"/>
        </w:rPr>
        <w:t xml:space="preserve">7. Assistance technique</w:t>
      </w:r>
    </w:p>
    <w:p>
      <w:pPr>
        <w:ind w:left="720" w:right="0"/>
      </w:pPr>
      <w:r>
        <w:rPr>
          <w:rStyle w:val="font_h2"/>
        </w:rPr>
        <w:t xml:space="preserve">7.1. Description</w:t>
      </w:r>
    </w:p>
    <w:p>
      <w:pPr/>
      <w:r>
        <w:rPr/>
        <w:t xml:space="preserve">Validé par le Groupe Spécialisé le 02/10/2018</w:t>
      </w:r>
    </w:p>
    <w:p>
      <w:pPr/>
      <w:r>
        <w:rPr>
          <w:b/>
          <w:bCs/>
        </w:rPr>
        <w:t xml:space="preserve">Description</w:t>
      </w:r>
    </w:p>
    <w:p>
      <w:pPr/>
      <w:r>
        <w:rPr/>
        <w:t xml:space="preserve">Préciser la formation théorique et pratique apportée aux utilisateurs par le titulaire de l'Avis Technique ou du Document Technique d'Application.</w:t>
      </w:r>
    </w:p>
    <w:p>
      <w:pPr/>
      <w:r>
        <w:rPr>
          <w:b/>
          <w:bCs/>
        </w:rPr>
        <w:t xml:space="preserve">Justification</w:t>
      </w:r>
    </w:p>
    <w:p>
      <w:pPr/>
      <w:r>
        <w:rPr/>
        <w:t xml:space="preserve">Module de formation des applicateurs en place.</w:t>
      </w:r>
    </w:p>
    <w:p>
      <w:pPr/>
      <w:r>
        <w:rPr>
          <w:rStyle w:val="font_h1"/>
        </w:rPr>
        <w:t xml:space="preserve">8. Fabrication et contrôles</w:t>
      </w:r>
    </w:p>
    <w:p>
      <w:pPr>
        <w:ind w:left="720" w:right="0"/>
      </w:pPr>
      <w:r>
        <w:rPr>
          <w:rStyle w:val="font_h2"/>
        </w:rPr>
        <w:t xml:space="preserve">8.1. Fabrication du mortier</w:t>
      </w:r>
    </w:p>
    <w:p>
      <w:pPr>
        <w:ind w:left="1440" w:right="0"/>
      </w:pPr>
      <w:r>
        <w:rPr>
          <w:rStyle w:val="font_h3"/>
        </w:rPr>
        <w:t xml:space="preserve">8.1.1. Généralités</w:t>
      </w:r>
    </w:p>
    <w:p>
      <w:pPr/>
      <w:r>
        <w:rPr/>
        <w:t xml:space="preserve">Validé par le Groupe Spécialisé le 15/10/2020</w:t>
      </w:r>
    </w:p>
    <w:p>
      <w:pPr/>
      <w:r>
        <w:rPr>
          <w:b/>
          <w:bCs/>
        </w:rPr>
        <w:t xml:space="preserve">Description</w:t>
      </w:r>
    </w:p>
    <w:p>
      <w:pPr/>
      <w:r>
        <w:rPr/>
        <w:t xml:space="preserve">Indiquer le mode de distribution.Décrire l'ordre d'incorporation des matériaux ainsi que le mode de malaxage.Préciser les ajouts éventuels au moment de la fabrication et dans quel cas.L'étalement départ unité de production doit être précisé.</w:t>
      </w:r>
    </w:p>
    <w:p>
      <w:pPr/>
      <w:r>
        <w:rPr/>
        <w:t xml:space="preserve">Le Groupe a émis une jurisprudence concernant les procédés de chapes fluides revendiquant leur fabrication selon 2 modes de distribution (centrale mobile et centrale à béton) : </w:t>
      </w:r>
    </w:p>
    <w:p>
      <w:pPr>
        <w:pPr/>
        <w:numPr>
          <w:ilvl w:val="0"/>
          <w:numId w:val="12"/>
        </w:numPr>
      </w:pPr>
      <w:r>
        <w:rPr/>
        <w:t xml:space="preserve">Les caractéristiques du procédé de chape fluide en sortie des deux centres de fabrication se doivent d’être strictement équivalentes afin d’ôter toutes confusions possibles vis-à-vis de l’applicateur final :o   basée sur le même concept de formulation, la formule se doit d’être identique (liant et adjuvantation à dosage identique pour un sable donné),o   les propriétés du mortier gâché à l’état frais devront être similaires : rhéologie de la chape (étalement initial, maintien d’étalement), masse volumique, temps de prise,o   selon les revendications de la chape, les performances mécaniques à l’état durci devront satisfaire les revendications du DTA : résistances mécaniques, cohésion de surface, etc.,o   il importe de garantir une traçabilité équivalente des pesées et des informations disponibles sur les bons de livraison que ce soit en centrale à béton ou en centrale mobile. </w:t>
      </w:r>
    </w:p>
    <w:p>
      <w:pPr>
        <w:pPr/>
        <w:numPr>
          <w:ilvl w:val="0"/>
          <w:numId w:val="12"/>
        </w:numPr>
      </w:pPr>
      <w:r>
        <w:rPr/>
        <w:t xml:space="preserve">Il convient de mettre en place un module de formation spécifique décrivant les 2 modes de fabrication lors de la formation des applicateurs.</w:t>
      </w:r>
    </w:p>
    <w:p>
      <w:pPr>
        <w:pPr/>
        <w:numPr>
          <w:ilvl w:val="0"/>
          <w:numId w:val="12"/>
        </w:numPr>
      </w:pPr>
      <w:r>
        <w:rPr/>
        <w:t xml:space="preserve">Le maintien d’étalement devra être caractérisé pour toute validation de formule et les résultats formalisés dans les dossiers de demande d’agrément des centrales mobiles et des centrales à béton en respectant les revendications du DTA.</w:t>
      </w:r>
    </w:p>
    <w:p>
      <w:pPr>
        <w:pPr/>
        <w:numPr>
          <w:ilvl w:val="0"/>
          <w:numId w:val="12"/>
        </w:numPr>
      </w:pPr>
      <w:r>
        <w:rPr/>
        <w:t xml:space="preserve">Deux listes de centrales agréées seront associées au DTA. Une liste pour les centrales à béton fixes et une liste pour les centrales mobiles. De plus, les experts ont acté qu’un audit pour chaque mode de distribution devra être réalisé chaque année.</w:t>
      </w:r>
    </w:p>
    <w:p>
      <w:pPr/>
      <w:r>
        <w:rPr>
          <w:b/>
          <w:bCs/>
        </w:rPr>
        <w:t xml:space="preserve">Justification</w:t>
      </w:r>
    </w:p>
    <w:p>
      <w:pPr/>
      <w:r>
        <w:rPr/>
        <w:t xml:space="preserve">Il a notamment été rappelé qu’au-delà de caractériser deux modes de distribution, il était nécessaire de s’assurer que les deux formules testées présentent bien un sable différent. Le groupe a donc acté:</w:t>
      </w:r>
    </w:p>
    <w:p>
      <w:pPr>
        <w:pPr/>
        <w:numPr>
          <w:ilvl w:val="0"/>
          <w:numId w:val="13"/>
        </w:numPr>
      </w:pPr>
      <w:r>
        <w:rPr/>
        <w:t xml:space="preserve">Dans le cadre d’une nouvelle demande d’Avis Technique revendiquant un double mode de distribution : Les deux modes de distribution décrits dans le dossier technique sont évalués selon le programme d’essais complet de référence. Un soin particulier sera apporté à la sélection des centres de production en fonction du sable utilisé afin de réaliser les essais sur deux natures de sable différentes. Un audit de démarrage d’un des deux centres de distribution est réalisé incluant des prélèvements réalisés sur chantier.</w:t>
      </w:r>
    </w:p>
    <w:p>
      <w:pPr>
        <w:pPr/>
        <w:numPr>
          <w:ilvl w:val="0"/>
          <w:numId w:val="13"/>
        </w:numPr>
      </w:pPr>
      <w:r>
        <w:rPr/>
        <w:t xml:space="preserve">Dans le cadre de l’ajout d’un nouveau de mode de distribution à un procédé déjà sous Avis Technique : Le mode de distribution nouvellement introduit dans le dossier technique est évalué selon le programme d’essais complet de référence. Un audit de démarrage du nouveau centre de distribution est réalisé incluant des prélèvements réalisés sur chantier. Un essai de maintien ainsi qu’un essai de résistance mécanique sont réalisés à partir des matériaux du centre de distribution initialement présent dans le DTA. Un soin particulier sera apporté à la sélection des centres de production en fonction du sable utilisé afin de réaliser les essais sur deux natures de sable différentes. </w:t>
      </w:r>
    </w:p>
    <w:p>
      <w:pPr>
        <w:pPr/>
        <w:numPr>
          <w:ilvl w:val="0"/>
          <w:numId w:val="13"/>
        </w:numPr>
      </w:pPr>
      <w:r>
        <w:rPr/>
        <w:t xml:space="preserve">Dans le cadre de la révision d’un Avis Technique revendiquant déjà plusieurs modes de distribution : Un des modes de distribution est évalué selon le programme d’essais complet de référence. L’autre mode de distribution est évalué par le biais d’un essai de maintien ainsi qu’un essai de résistance mécanique. Un soin particulier sera apporté à la sélection des centres de production en fonction du sable utilisé afin de réaliser les essais sur deux natures de sable différentes.</w:t>
      </w:r>
    </w:p>
    <w:p>
      <w:pPr>
        <w:ind w:left="1440" w:right="0"/>
      </w:pPr>
      <w:r>
        <w:rPr>
          <w:rStyle w:val="font_h3"/>
        </w:rPr>
        <w:t xml:space="preserve">8.1.2. Fabrication du mortier et exigences de la certification QB 46</w:t>
      </w:r>
    </w:p>
    <w:p>
      <w:pPr>
        <w:ind w:left="1440" w:right="0"/>
      </w:pPr>
      <w:r>
        <w:rPr>
          <w:rStyle w:val="font_h3"/>
        </w:rPr>
        <w:t xml:space="preserve">8.1.3. Réception et réglage sur chantier</w:t>
      </w:r>
    </w:p>
    <w:p>
      <w:pPr/>
      <w:r>
        <w:rPr/>
        <w:t xml:space="preserve">Validé par le Groupe Spécialisé le 02/10/2018</w:t>
      </w:r>
    </w:p>
    <w:p>
      <w:pPr/>
      <w:r>
        <w:rPr>
          <w:b/>
          <w:bCs/>
        </w:rPr>
        <w:t xml:space="preserve">Description</w:t>
      </w:r>
    </w:p>
    <w:p>
      <w:pPr/>
      <w:r>
        <w:rPr/>
        <w:t xml:space="preserve">La consistance du produit doit être vérifiée par l'applicateur, en présence du chauffeur du camion à réception et avant démarrage du chantier (mesure de l'étalement).La fluidité peut être ajustée conformément au cahier des charges de la formule propre à la centrale par ajout d'eau si nécessaire. Décrire la procédure pour l'ajout d'eau autorisé.</w:t>
      </w:r>
    </w:p>
    <w:p>
      <w:pPr>
        <w:ind w:left="1440" w:right="0"/>
      </w:pPr>
      <w:r>
        <w:rPr>
          <w:rStyle w:val="font_h3"/>
        </w:rPr>
        <w:t xml:space="preserve">8.1.4. Cas des camions mobiles</w:t>
      </w:r>
    </w:p>
    <w:p>
      <w:pPr>
        <w:ind w:left="720" w:right="0"/>
      </w:pPr>
      <w:r>
        <w:rPr>
          <w:rStyle w:val="font_h2"/>
        </w:rPr>
        <w:t xml:space="preserve">8.2. Contrôles</w:t>
      </w:r>
    </w:p>
    <w:p>
      <w:pPr>
        <w:ind w:left="1440" w:right="0"/>
      </w:pPr>
      <w:r>
        <w:rPr>
          <w:rStyle w:val="font_h3"/>
        </w:rPr>
        <w:t xml:space="preserve">8.2.1. Généralités</w:t>
      </w:r>
    </w:p>
    <w:p>
      <w:pPr>
        <w:ind w:left="1440" w:right="0"/>
      </w:pPr>
      <w:r>
        <w:rPr>
          <w:rStyle w:val="font_h3"/>
        </w:rPr>
        <w:t xml:space="preserve">8.2.2. Equivalence avec la certification QB46</w:t>
      </w:r>
    </w:p>
    <w:p>
      <w:pPr>
        <w:ind w:left="1440" w:right="0"/>
      </w:pPr>
      <w:r>
        <w:rPr>
          <w:rStyle w:val="font_h3"/>
        </w:rPr>
        <w:t xml:space="preserve">8.2.3. Suivi de fabrication des additifs</w:t>
      </w:r>
    </w:p>
    <w:p>
      <w:pPr>
        <w:ind w:left="1440" w:right="0"/>
      </w:pPr>
      <w:r>
        <w:rPr>
          <w:rStyle w:val="font_h3"/>
        </w:rPr>
        <w:t xml:space="preserve">8.2.4. Validation de formule -  cas des chapes sans pellicules de surface</w:t>
      </w:r>
    </w:p>
    <w:p>
      <w:pPr/>
      <w:r>
        <w:rPr/>
        <w:t xml:space="preserve">Validé par le Groupe Spécialisé le 21/03/2023</w:t>
      </w:r>
    </w:p>
    <w:p>
      <w:pPr/>
      <w:r>
        <w:rPr>
          <w:b/>
          <w:bCs/>
        </w:rPr>
        <w:t xml:space="preserve">Description</w:t>
      </w:r>
    </w:p>
    <w:p>
      <w:pPr/>
      <w:r>
        <w:rPr/>
        <w:t xml:space="preserve">Pour les chapes fluides à base de ciment, présentant la caractéristique sans pellicule de surface, un essai de cohésion de surface sur chape non poncée devra être effectué dans le cadre des validations de formules de chaque nouvelle unité de production ajoutée. Ceci sera intégré dans le contrat d’engagement TITULAIRE/CSTB.</w:t>
      </w:r>
    </w:p>
    <w:p>
      <w:pPr/>
      <w:r>
        <w:rPr>
          <w:b/>
          <w:bCs/>
        </w:rPr>
        <w:t xml:space="preserve">Justification</w:t>
      </w:r>
    </w:p>
    <w:p>
      <w:pPr/>
      <w:r>
        <w:rPr/>
        <w:t xml:space="preserve">Essai de cohésion de surface sur chape non poncée à chaque nouvelle centrale / nouvelle formule</w:t>
      </w:r>
    </w:p>
    <w:p>
      <w:pPr/>
      <w:r>
        <w:rPr>
          <w:b/>
          <w:bCs/>
        </w:rPr>
        <w:t xml:space="preserve">Critères d'évaluation</w:t>
      </w:r>
    </w:p>
    <w:p>
      <w:pPr/>
      <w:r>
        <w:rPr/>
        <w:t xml:space="preserve">conformité au référentiel QB 46</w:t>
      </w:r>
    </w:p>
    <w:p>
      <w:pPr/>
      <w:r>
        <w:rPr>
          <w:rStyle w:val="font_h1"/>
        </w:rPr>
        <w:t xml:space="preserve">9. Mention des justificatifs</w:t>
      </w:r>
    </w:p>
    <w:p>
      <w:pPr/>
      <w:r>
        <w:rPr>
          <w:rStyle w:val="font_h1"/>
        </w:rPr>
        <w:t xml:space="preserve">10. Références chantier</w:t>
      </w:r>
    </w:p>
    <w:p>
      <w:pPr>
        <w:ind w:left="720" w:right="0"/>
      </w:pPr>
      <w:r>
        <w:rPr>
          <w:rStyle w:val="font_h2"/>
        </w:rPr>
        <w:t xml:space="preserve">10.1. Description</w:t>
      </w:r>
    </w:p>
    <w:p>
      <w:pPr/>
      <w:r>
        <w:rPr/>
        <w:t xml:space="preserve">Validé par le Groupe Spécialisé le 02/10/2018</w:t>
      </w:r>
    </w:p>
    <w:p>
      <w:pPr/>
      <w:r>
        <w:rPr>
          <w:b/>
          <w:bCs/>
        </w:rPr>
        <w:t xml:space="preserve">Description</w:t>
      </w:r>
    </w:p>
    <w:p>
      <w:pPr>
        <w:pPr/>
        <w:numPr>
          <w:ilvl w:val="0"/>
          <w:numId w:val="14"/>
        </w:numPr>
      </w:pPr>
      <w:r>
        <w:rPr/>
        <w:t xml:space="preserve">Préciser la surface de chape appliquée en France et depuis quand.</w:t>
      </w:r>
    </w:p>
    <w:p>
      <w:pPr>
        <w:pPr/>
        <w:numPr>
          <w:ilvl w:val="0"/>
          <w:numId w:val="14"/>
        </w:numPr>
      </w:pPr>
      <w:r>
        <w:rPr/>
        <w:t xml:space="preserve">Préciser si le procédé dispose d'une Déclaration Environnementale (DE).</w:t>
      </w:r>
    </w:p>
    <w:p>
      <w:pPr/>
      <w:r>
        <w:rPr>
          <w:b/>
          <w:bCs/>
        </w:rPr>
        <w:t xml:space="preserve">Justification</w:t>
      </w:r>
    </w:p>
    <w:p>
      <w:pPr>
        <w:pPr/>
        <w:numPr>
          <w:ilvl w:val="0"/>
          <w:numId w:val="15"/>
        </w:numPr>
      </w:pPr>
      <w:r>
        <w:rPr/>
        <w:t xml:space="preserve">Liste de références de chantiers détaillée, les éléments ci-après sont habituellement demandés sous forme de tableau récapitulatif (10 chantiers représentatifs ou 5000 m²) :</w:t>
      </w:r>
    </w:p>
    <w:p>
      <w:pPr>
        <w:pPr/>
        <w:numPr>
          <w:ilvl w:val="0"/>
          <w:numId w:val="16"/>
        </w:numPr>
      </w:pPr>
      <w:r>
        <w:rPr/>
        <w:t xml:space="preserve">L’adresse du chantier,</w:t>
      </w:r>
    </w:p>
    <w:p>
      <w:pPr>
        <w:pPr/>
        <w:numPr>
          <w:ilvl w:val="0"/>
          <w:numId w:val="16"/>
        </w:numPr>
      </w:pPr>
      <w:r>
        <w:rPr/>
        <w:t xml:space="preserve">La date de mise en œuvre,</w:t>
      </w:r>
    </w:p>
    <w:p>
      <w:pPr>
        <w:pPr/>
        <w:numPr>
          <w:ilvl w:val="0"/>
          <w:numId w:val="16"/>
        </w:numPr>
      </w:pPr>
      <w:r>
        <w:rPr/>
        <w:t xml:space="preserve">Les noms, adresses et e-mail du maître d’œuvre, maître d’ouvrage, architecte,</w:t>
      </w:r>
    </w:p>
    <w:p>
      <w:pPr>
        <w:pPr/>
        <w:numPr>
          <w:ilvl w:val="0"/>
          <w:numId w:val="16"/>
        </w:numPr>
      </w:pPr>
      <w:r>
        <w:rPr/>
        <w:t xml:space="preserve">La nature du support,</w:t>
      </w:r>
    </w:p>
    <w:p>
      <w:pPr>
        <w:pPr/>
        <w:numPr>
          <w:ilvl w:val="0"/>
          <w:numId w:val="16"/>
        </w:numPr>
      </w:pPr>
      <w:r>
        <w:rPr/>
        <w:t xml:space="preserve">Existence de plancher chauffant,</w:t>
      </w:r>
    </w:p>
    <w:p>
      <w:pPr>
        <w:pPr/>
        <w:numPr>
          <w:ilvl w:val="0"/>
          <w:numId w:val="16"/>
        </w:numPr>
      </w:pPr>
      <w:r>
        <w:rPr/>
        <w:t xml:space="preserve">Épaisseurs d’application,</w:t>
      </w:r>
    </w:p>
    <w:p>
      <w:pPr>
        <w:pPr/>
        <w:numPr>
          <w:ilvl w:val="0"/>
          <w:numId w:val="16"/>
        </w:numPr>
      </w:pPr>
      <w:r>
        <w:rPr/>
        <w:t xml:space="preserve">Fractionnement effectué,</w:t>
      </w:r>
    </w:p>
    <w:p>
      <w:pPr>
        <w:pPr/>
        <w:numPr>
          <w:ilvl w:val="0"/>
          <w:numId w:val="16"/>
        </w:numPr>
      </w:pPr>
      <w:r>
        <w:rPr/>
        <w:t xml:space="preserve">Ponçage ou non ponçage de la chape.</w:t>
      </w:r>
    </w:p>
    <w:p>
      <w:pPr>
        <w:pPr/>
        <w:numPr>
          <w:ilvl w:val="0"/>
          <w:numId w:val="17"/>
        </w:numPr>
      </w:pPr>
      <w:r>
        <w:rPr/>
        <w:t xml:space="preserve">Aptitude à l'emploi du procédé:</w:t>
      </w:r>
    </w:p>
    <w:p>
      <w:pPr>
        <w:pPr/>
        <w:numPr>
          <w:ilvl w:val="1"/>
          <w:numId w:val="17"/>
        </w:numPr>
      </w:pPr>
      <w:r>
        <w:rPr/>
        <w:t xml:space="preserve">Visite de chantier.</w:t>
      </w:r>
    </w:p>
    <w:p>
      <w:pPr>
        <w:ind w:left="720" w:right="0"/>
      </w:pPr>
      <w:r>
        <w:rPr>
          <w:rStyle w:val="font_h2"/>
        </w:rPr>
        <w:t xml:space="preserve">10.2. Exigences concernant les références chantier</w:t>
      </w:r>
    </w:p>
    <w:p>
      <w:pPr>
        <w:ind w:left="720" w:right="0"/>
      </w:pPr>
      <w:r>
        <w:rPr>
          <w:rStyle w:val="font_h2"/>
        </w:rPr>
        <w:t xml:space="preserve">10.3. Cas des chapes sans pellicule de surface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85B7D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2C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F6C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CEE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710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A00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FFE5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04CC5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B309F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2026-10-30T08:13:01+01:00</dcterms:created>
  <dcterms:modified xsi:type="dcterms:W3CDTF">2026-10-30T08:13:01+01:00</dcterms:modified>
</cp:coreProperties>
</file>

<file path=docProps/custom.xml><?xml version="1.0" encoding="utf-8"?>
<Properties xmlns="http://schemas.openxmlformats.org/officeDocument/2006/custom-properties" xmlns:vt="http://schemas.openxmlformats.org/officeDocument/2006/docPropsVTypes"/>
</file>