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28/07/2026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Chape fluide à base de sulfate de calcium</w:t>
      </w:r>
    </w:p>
    <w:p>
      <w:pPr/>
      <w:r>
        <w:rPr>
          <w:rStyle w:val="font_h1"/>
        </w:rPr>
        <w:t xml:space="preserve">1. Description</w:t>
      </w:r>
    </w:p>
    <w:p>
      <w:pPr>
        <w:ind w:left="720" w:right="0"/>
      </w:pPr>
      <w:r>
        <w:rPr>
          <w:rStyle w:val="font_h2"/>
        </w:rPr>
        <w:t xml:space="preserve">1.1. Principe</w:t>
      </w:r>
    </w:p>
    <w:p>
      <w:pPr/>
      <w:r>
        <w:rPr/>
        <w:t xml:space="preserve">Validé par le Groupe Spécialisé le 02/10/2018</w:t>
      </w:r>
    </w:p>
    <w:p>
      <w:pPr/>
      <w:r>
        <w:rPr>
          <w:b/>
          <w:bCs/>
        </w:rPr>
        <w:t xml:space="preserve">Description</w:t>
      </w:r>
    </w:p>
    <w:p>
      <w:pPr/>
      <w:r>
        <w:rPr/>
        <w:t xml:space="preserve">Préciser:</w:t>
      </w:r>
    </w:p>
    <w:p>
      <w:pPr>
        <w:pPr/>
        <w:numPr>
          <w:ilvl w:val="0"/>
          <w:numId w:val="9"/>
        </w:numPr>
      </w:pPr>
      <w:r>
        <w:rPr/>
        <w:t xml:space="preserve">la classe mécanique de la chape suivant la norme EN 13813</w:t>
      </w:r>
    </w:p>
    <w:p>
      <w:pPr>
        <w:pPr/>
        <w:numPr>
          <w:ilvl w:val="0"/>
          <w:numId w:val="9"/>
        </w:numPr>
      </w:pPr>
      <w:r>
        <w:rPr/>
        <w:t xml:space="preserve">le classement UPEC des locaux visés</w:t>
      </w:r>
    </w:p>
    <w:p>
      <w:pPr>
        <w:pPr/>
        <w:numPr>
          <w:ilvl w:val="0"/>
          <w:numId w:val="9"/>
        </w:numPr>
      </w:pPr>
      <w:r>
        <w:rPr/>
        <w:t xml:space="preserve">le mode de distribution</w:t>
      </w:r>
    </w:p>
    <w:p>
      <w:pPr>
        <w:pPr/>
        <w:numPr>
          <w:ilvl w:val="0"/>
          <w:numId w:val="9"/>
        </w:numPr>
      </w:pPr>
      <w:r>
        <w:rPr/>
        <w:t xml:space="preserve">le système d'applicateurs agréés mis en place par la société détentrice du DTA</w:t>
      </w:r>
    </w:p>
    <w:p>
      <w:pPr>
        <w:ind w:left="720" w:right="0"/>
      </w:pPr>
      <w:r>
        <w:rPr>
          <w:rStyle w:val="font_h2"/>
        </w:rPr>
        <w:t xml:space="preserve">1.2. Caractéristiques des composants</w:t>
      </w:r>
    </w:p>
    <w:p>
      <w:pPr>
        <w:ind w:left="1440" w:right="0"/>
      </w:pPr>
      <w:r>
        <w:rPr>
          <w:rStyle w:val="font_h3"/>
        </w:rPr>
        <w:t xml:space="preserve">1.2.1. Liant</w:t>
      </w:r>
    </w:p>
    <w:p>
      <w:pPr>
        <w:ind w:left="2160" w:right="0"/>
      </w:pPr>
      <w:r>
        <w:rPr>
          <w:rStyle w:val="font_h3"/>
        </w:rPr>
        <w:t xml:space="preserve">1.2.1.1. Caractéristiques</w:t>
      </w:r>
    </w:p>
    <w:p>
      <w:pPr/>
      <w:r>
        <w:rPr/>
        <w:t xml:space="preserve">Validé par le Groupe Spécialisé le 02/10/2018</w:t>
      </w:r>
    </w:p>
    <w:p>
      <w:pPr/>
      <w:r>
        <w:rPr>
          <w:b/>
          <w:bCs/>
        </w:rPr>
        <w:t xml:space="preserve">Description</w:t>
      </w:r>
    </w:p>
    <w:p>
      <w:pPr/>
      <w:r>
        <w:rPr/>
        <w:t xml:space="preserve">Préciser les caractéristiques du liant sulfate de calcium et son marquage suivant la norme EN 13454</w:t>
      </w:r>
    </w:p>
    <w:p>
      <w:pPr/>
      <w:r>
        <w:rPr>
          <w:b/>
          <w:bCs/>
        </w:rPr>
        <w:t xml:space="preserve">Justification</w:t>
      </w:r>
    </w:p>
    <w:p>
      <w:pPr/>
      <w:r>
        <w:rPr/>
        <w:t xml:space="preserve">Marquage CE du liant si existant</w:t>
      </w:r>
    </w:p>
    <w:p>
      <w:pPr>
        <w:ind w:left="2160" w:right="0"/>
      </w:pPr>
      <w:r>
        <w:rPr>
          <w:rStyle w:val="font_h3"/>
        </w:rPr>
        <w:t xml:space="preserve">1.2.1.2. Conditionnement, livraison et stockage</w:t>
      </w:r>
    </w:p>
    <w:p>
      <w:pPr/>
      <w:r>
        <w:rPr/>
        <w:t xml:space="preserve">Validé par le Groupe Spécialisé le 02/10/2018</w:t>
      </w:r>
    </w:p>
    <w:p>
      <w:pPr/>
      <w:r>
        <w:rPr>
          <w:b/>
          <w:bCs/>
        </w:rPr>
        <w:t xml:space="preserve">Description</w:t>
      </w:r>
    </w:p>
    <w:p>
      <w:pPr/>
      <w:r>
        <w:rPr/>
        <w:t xml:space="preserve">Décrire le mode de livraison et de stockage du liant ainsi que le marquage</w:t>
      </w:r>
    </w:p>
    <w:p>
      <w:pPr>
        <w:ind w:left="1440" w:right="0"/>
      </w:pPr>
      <w:r>
        <w:rPr>
          <w:rStyle w:val="font_h3"/>
        </w:rPr>
        <w:t xml:space="preserve">1.2.2. mortier de chape</w:t>
      </w:r>
    </w:p>
    <w:p>
      <w:pPr>
        <w:ind w:left="2160" w:right="0"/>
      </w:pPr>
      <w:r>
        <w:rPr>
          <w:rStyle w:val="font_h3"/>
        </w:rPr>
        <w:t xml:space="preserve">1.2.2.1. mortier gâché</w:t>
      </w:r>
    </w:p>
    <w:p>
      <w:pPr/>
      <w:r>
        <w:rPr/>
        <w:t xml:space="preserve">Validé par le Groupe Spécialisé le 02/10/2018</w:t>
      </w:r>
    </w:p>
    <w:p>
      <w:pPr/>
      <w:r>
        <w:rPr>
          <w:b/>
          <w:bCs/>
        </w:rPr>
        <w:t xml:space="preserve">Description</w:t>
      </w:r>
    </w:p>
    <w:p>
      <w:pPr/>
      <w:r>
        <w:rPr/>
        <w:t xml:space="preserve">Préciser:</w:t>
      </w:r>
    </w:p>
    <w:p>
      <w:pPr>
        <w:pPr/>
        <w:numPr>
          <w:ilvl w:val="0"/>
          <w:numId w:val="10"/>
        </w:numPr>
      </w:pPr>
      <w:r>
        <w:rPr/>
        <w:t xml:space="preserve">le diamètre d'étalement avec le cône employé</w:t>
      </w:r>
    </w:p>
    <w:p>
      <w:pPr>
        <w:pPr/>
        <w:numPr>
          <w:ilvl w:val="0"/>
          <w:numId w:val="10"/>
        </w:numPr>
      </w:pPr>
      <w:r>
        <w:rPr/>
        <w:t xml:space="preserve">la masse volumique</w:t>
      </w:r>
    </w:p>
    <w:p>
      <w:pPr>
        <w:pPr/>
        <w:numPr>
          <w:ilvl w:val="0"/>
          <w:numId w:val="10"/>
        </w:numPr>
      </w:pPr>
      <w:r>
        <w:rPr/>
        <w:t xml:space="preserve">le temps d'utilisation</w:t>
      </w:r>
    </w:p>
    <w:p>
      <w:pPr/>
      <w:r>
        <w:rPr>
          <w:b/>
          <w:bCs/>
        </w:rPr>
        <w:t xml:space="preserve">Justification</w:t>
      </w:r>
    </w:p>
    <w:p>
      <w:pPr/>
      <w:r>
        <w:rPr/>
        <w:t xml:space="preserve">Essais à réaliser dans les laboratoires du CSTB pour une même formule :</w:t>
      </w:r>
    </w:p>
    <w:p>
      <w:pPr>
        <w:pPr/>
        <w:numPr>
          <w:ilvl w:val="0"/>
          <w:numId w:val="11"/>
        </w:numPr>
      </w:pPr>
      <w:r>
        <w:rPr/>
        <w:t xml:space="preserve">Identification liant / sable / adjuvant</w:t>
      </w:r>
    </w:p>
    <w:p>
      <w:pPr>
        <w:pPr/>
        <w:numPr>
          <w:ilvl w:val="1"/>
          <w:numId w:val="11"/>
        </w:numPr>
      </w:pPr>
      <w:r>
        <w:rPr/>
        <w:t xml:space="preserve">pH du liant</w:t>
      </w:r>
    </w:p>
    <w:p>
      <w:pPr>
        <w:pPr/>
        <w:numPr>
          <w:ilvl w:val="1"/>
          <w:numId w:val="11"/>
        </w:numPr>
      </w:pPr>
      <w:r>
        <w:rPr/>
        <w:t xml:space="preserve">Taux de cendres à 450 °C et 900°C</w:t>
      </w:r>
    </w:p>
    <w:p>
      <w:pPr>
        <w:pPr/>
        <w:numPr>
          <w:ilvl w:val="1"/>
          <w:numId w:val="11"/>
        </w:numPr>
      </w:pPr>
      <w:r>
        <w:rPr/>
        <w:t xml:space="preserve">Granulométrie du sable</w:t>
      </w:r>
    </w:p>
    <w:p>
      <w:pPr>
        <w:pPr/>
        <w:numPr>
          <w:ilvl w:val="0"/>
          <w:numId w:val="11"/>
        </w:numPr>
      </w:pPr>
      <w:r>
        <w:rPr/>
        <w:t xml:space="preserve">Identification de la pâte</w:t>
      </w:r>
    </w:p>
    <w:p>
      <w:pPr>
        <w:pPr/>
        <w:numPr>
          <w:ilvl w:val="1"/>
          <w:numId w:val="11"/>
        </w:numPr>
      </w:pPr>
      <w:r>
        <w:rPr/>
        <w:t xml:space="preserve">Étalement de la pâte à X% (X% correspondant au centre de l’étalement visé dans le Dossier Technique)</w:t>
      </w:r>
    </w:p>
    <w:p>
      <w:pPr>
        <w:pPr/>
        <w:numPr>
          <w:ilvl w:val="1"/>
          <w:numId w:val="11"/>
        </w:numPr>
      </w:pPr>
      <w:r>
        <w:rPr/>
        <w:t xml:space="preserve">Maintien de la fluidité</w:t>
      </w:r>
    </w:p>
    <w:p>
      <w:pPr>
        <w:pPr/>
        <w:numPr>
          <w:ilvl w:val="1"/>
          <w:numId w:val="11"/>
        </w:numPr>
      </w:pPr>
      <w:r>
        <w:rPr/>
        <w:t xml:space="preserve">Masse volumique à X%</w:t>
      </w:r>
    </w:p>
    <w:p>
      <w:pPr>
        <w:pPr/>
        <w:numPr>
          <w:ilvl w:val="1"/>
          <w:numId w:val="11"/>
        </w:numPr>
      </w:pPr>
      <w:r>
        <w:rPr/>
        <w:t xml:space="preserve">Étalement de la pâte à (X+a)% ((X+a)% correspondant à la borne haute de l’étalement visé dans le Dossier Technique)</w:t>
      </w:r>
    </w:p>
    <w:p>
      <w:pPr>
        <w:pPr/>
        <w:numPr>
          <w:ilvl w:val="1"/>
          <w:numId w:val="11"/>
        </w:numPr>
      </w:pPr>
      <w:r>
        <w:rPr/>
        <w:t xml:space="preserve">Temps de prise Vicat à X%</w:t>
      </w:r>
    </w:p>
    <w:p>
      <w:pPr>
        <w:pPr/>
        <w:numPr>
          <w:ilvl w:val="1"/>
          <w:numId w:val="11"/>
        </w:numPr>
      </w:pPr>
      <w:r>
        <w:rPr/>
        <w:t xml:space="preserve">Mesure de l'air occlus</w:t>
      </w:r>
    </w:p>
    <w:p>
      <w:pPr>
        <w:pPr/>
        <w:numPr>
          <w:ilvl w:val="1"/>
          <w:numId w:val="11"/>
        </w:numPr>
      </w:pPr>
      <w:r>
        <w:rPr/>
        <w:t xml:space="preserve">Mesure Retrait au Jeune Age</w:t>
      </w:r>
    </w:p>
    <w:p>
      <w:pPr>
        <w:pPr/>
        <w:numPr>
          <w:ilvl w:val="0"/>
          <w:numId w:val="11"/>
        </w:numPr>
      </w:pPr>
      <w:r>
        <w:rPr/>
        <w:t xml:space="preserve">Caractérisation du produit fini</w:t>
      </w:r>
    </w:p>
    <w:p>
      <w:pPr>
        <w:pPr/>
        <w:numPr>
          <w:ilvl w:val="1"/>
          <w:numId w:val="11"/>
        </w:numPr>
      </w:pPr>
      <w:r>
        <w:rPr/>
        <w:t xml:space="preserve">Flexion-Compression à X% à 28j / conditionnement laboratoire</w:t>
      </w:r>
    </w:p>
    <w:p>
      <w:pPr>
        <w:pPr/>
        <w:numPr>
          <w:ilvl w:val="1"/>
          <w:numId w:val="11"/>
        </w:numPr>
      </w:pPr>
      <w:r>
        <w:rPr/>
        <w:t xml:space="preserve">Flexion-Compression à X% à 7 j et 28j / conditionnement CEN</w:t>
      </w:r>
    </w:p>
    <w:p>
      <w:pPr>
        <w:pPr/>
        <w:numPr>
          <w:ilvl w:val="1"/>
          <w:numId w:val="11"/>
        </w:numPr>
      </w:pPr>
      <w:r>
        <w:rPr/>
        <w:t xml:space="preserve">Flexion- Compression à (X+a) % à 28j / conditionnement CEN</w:t>
      </w:r>
    </w:p>
    <w:p>
      <w:pPr>
        <w:pPr/>
        <w:numPr>
          <w:ilvl w:val="1"/>
          <w:numId w:val="11"/>
        </w:numPr>
      </w:pPr>
      <w:r>
        <w:rPr/>
        <w:t xml:space="preserve">Variation dimensionnelle à X%</w:t>
      </w:r>
    </w:p>
    <w:p>
      <w:pPr>
        <w:pPr/>
        <w:numPr>
          <w:ilvl w:val="1"/>
          <w:numId w:val="11"/>
        </w:numPr>
      </w:pPr>
      <w:r>
        <w:rPr/>
        <w:t xml:space="preserve">Cinétique de séchage</w:t>
      </w:r>
    </w:p>
    <w:p>
      <w:pPr>
        <w:pPr/>
        <w:numPr>
          <w:ilvl w:val="0"/>
          <w:numId w:val="11"/>
        </w:numPr>
      </w:pPr>
      <w:r>
        <w:rPr/>
        <w:t xml:space="preserve">Caractérisation de la surface poncée ou non poncée</w:t>
      </w:r>
    </w:p>
    <w:p>
      <w:pPr>
        <w:pPr/>
        <w:numPr>
          <w:ilvl w:val="1"/>
          <w:numId w:val="11"/>
        </w:numPr>
      </w:pPr>
      <w:r>
        <w:rPr/>
        <w:t xml:space="preserve">Cohésion de la surface poncée ou non poncée à X%</w:t>
      </w:r>
    </w:p>
    <w:p>
      <w:pPr>
        <w:pPr/>
        <w:numPr>
          <w:ilvl w:val="1"/>
          <w:numId w:val="11"/>
        </w:numPr>
      </w:pPr>
      <w:r>
        <w:rPr/>
        <w:t xml:space="preserve">Porosité de la surface poncée ou non poncée à X%</w:t>
      </w:r>
    </w:p>
    <w:p>
      <w:pPr>
        <w:pPr/>
        <w:numPr>
          <w:ilvl w:val="0"/>
          <w:numId w:val="11"/>
        </w:numPr>
      </w:pPr>
      <w:r>
        <w:rPr/>
        <w:t xml:space="preserve">Autres caractéristiques</w:t>
      </w:r>
    </w:p>
    <w:p>
      <w:pPr/>
      <w:r>
        <w:rPr/>
        <w:t xml:space="preserve">Résultats d’essais de cohésion de surface in situ,</w:t>
      </w:r>
    </w:p>
    <w:p>
      <w:pPr>
        <w:pPr/>
        <w:numPr>
          <w:ilvl w:val="0"/>
          <w:numId w:val="12"/>
        </w:numPr>
      </w:pPr>
      <w:r>
        <w:rPr/>
        <w:t xml:space="preserve">Résultats d’essais de tuilage,</w:t>
      </w:r>
    </w:p>
    <w:p>
      <w:pPr>
        <w:pPr/>
        <w:numPr>
          <w:ilvl w:val="0"/>
          <w:numId w:val="12"/>
        </w:numPr>
      </w:pPr>
      <w:r>
        <w:rPr/>
        <w:t xml:space="preserve">Résultat d’essai de blocage thermique,</w:t>
      </w:r>
    </w:p>
    <w:p>
      <w:pPr>
        <w:pPr/>
        <w:numPr>
          <w:ilvl w:val="0"/>
          <w:numId w:val="12"/>
        </w:numPr>
      </w:pPr>
      <w:r>
        <w:rPr/>
        <w:t xml:space="preserve">Résultat d’essai de flexion 3 points sur maquettes fibrées,</w:t>
      </w:r>
    </w:p>
    <w:p>
      <w:pPr>
        <w:pPr/>
        <w:numPr>
          <w:ilvl w:val="0"/>
          <w:numId w:val="12"/>
        </w:numPr>
      </w:pPr>
      <w:r>
        <w:rPr/>
        <w:t xml:space="preserve">Cas particulier des procédés revendiquant l’absence de pellicule de surface: par le biais d'essais de cohésion de la chape en faisant varier différents paramètres (nature du sable, taux de gâchage, température de séchage,...) et d'essais d'adhérence avec différents produits de liaisonnement (enduits de sol, colles à carrelage)</w:t>
      </w:r>
    </w:p>
    <w:p>
      <w:pPr>
        <w:pPr/>
        <w:numPr>
          <w:ilvl w:val="0"/>
          <w:numId w:val="12"/>
        </w:numPr>
      </w:pPr>
      <w:r>
        <w:rPr/>
        <w:t xml:space="preserve">autres essais suivant les spécificités et le domaine d’emploi revendiqué.</w:t>
      </w:r>
    </w:p>
    <w:p>
      <w:pPr>
        <w:ind w:left="2160" w:right="0"/>
      </w:pPr>
      <w:r>
        <w:rPr>
          <w:rStyle w:val="font_h3"/>
        </w:rPr>
        <w:t xml:space="preserve">1.2.2.2. Etalement</w:t>
      </w:r>
    </w:p>
    <w:p>
      <w:pPr>
        <w:ind w:left="2160" w:right="0"/>
      </w:pPr>
      <w:r>
        <w:rPr>
          <w:rStyle w:val="font_h3"/>
        </w:rPr>
        <w:t xml:space="preserve">1.2.2.4. Mortier durci</w:t>
      </w:r>
    </w:p>
    <w:p>
      <w:pPr>
        <w:ind w:left="2880" w:right="0"/>
      </w:pPr>
      <w:r>
        <w:rPr>
          <w:rStyle w:val="font_h3"/>
        </w:rPr>
        <w:t xml:space="preserve">1.2.2.4.1. Caractéristiques minimales attendues</w:t>
      </w:r>
    </w:p>
    <w:p>
      <w:pPr/>
      <w:r>
        <w:rPr/>
        <w:t xml:space="preserve">Validé par le Groupe Spécialisé le 06/07/2021</w:t>
      </w:r>
    </w:p>
    <w:p>
      <w:pPr/>
      <w:r>
        <w:rPr>
          <w:b/>
          <w:bCs/>
        </w:rPr>
        <w:t xml:space="preserve">Description</w:t>
      </w:r>
    </w:p>
    <w:p>
      <w:pPr/>
      <w:r>
        <w:rPr/>
        <w:t xml:space="preserve">Indiquer les caractéristiques de la chape suivant la EN 13813 avec notamment:</w:t>
      </w:r>
    </w:p>
    <w:p>
      <w:pPr>
        <w:pPr/>
        <w:numPr>
          <w:ilvl w:val="0"/>
          <w:numId w:val="13"/>
        </w:numPr>
      </w:pPr>
      <w:r>
        <w:rPr/>
        <w:t xml:space="preserve">les performances mécaniques</w:t>
      </w:r>
    </w:p>
    <w:p>
      <w:pPr>
        <w:pPr/>
        <w:numPr>
          <w:ilvl w:val="0"/>
          <w:numId w:val="13"/>
        </w:numPr>
      </w:pPr>
      <w:r>
        <w:rPr/>
        <w:t xml:space="preserve">la masse volumique sèche</w:t>
      </w:r>
    </w:p>
    <w:p>
      <w:pPr>
        <w:pPr/>
        <w:numPr>
          <w:ilvl w:val="0"/>
          <w:numId w:val="13"/>
        </w:numPr>
      </w:pPr>
      <w:r>
        <w:rPr/>
        <w:t xml:space="preserve">le classement de réaction au feu</w:t>
      </w:r>
    </w:p>
    <w:p>
      <w:pPr/>
      <w:r>
        <w:rPr/>
        <w:t xml:space="preserve">La valeur de la conductivité thermique utile est une valeur tabulée ou à justifier par un suivi.Le Groupe a émis une jurisprudence visant la clarification de l’affichage des propriétés thermiques des chapes fluides dans les documents techniques d’application. Dorénavant, une distinction entre les caractéristiques thermiques utiles au calcul des performances énergétiques de la paroi (résistances thermiques utiles en fonction de l’épaisseur de la chape issues des règles NF Th-Bât) et celles utiles au calcul du dimensionnement du plancher chauffant au sens de la norme NF EN 1264-2 sera opérée.</w:t>
      </w:r>
    </w:p>
    <w:p>
      <w:pPr/>
      <w:r>
        <w:rPr>
          <w:b/>
          <w:bCs/>
        </w:rPr>
        <w:t xml:space="preserve">Justification</w:t>
      </w:r>
    </w:p>
    <w:p>
      <w:pPr>
        <w:pPr/>
        <w:numPr>
          <w:ilvl w:val="0"/>
          <w:numId w:val="14"/>
        </w:numPr>
      </w:pPr>
      <w:r>
        <w:rPr/>
        <w:t xml:space="preserve">Prévention vis à vis des risques: rapport d'essais de comportement au feu ou lettre d'engagement indiquant que le produit contient moins de 1% en masse ou en volume de composants organiques (pour la règlementation incendie).</w:t>
      </w:r>
    </w:p>
    <w:p>
      <w:pPr>
        <w:pPr/>
        <w:numPr>
          <w:ilvl w:val="0"/>
          <w:numId w:val="14"/>
        </w:numPr>
      </w:pPr>
      <w:r>
        <w:rPr/>
        <w:t xml:space="preserve">Prévention vis à vis des aspects sanitaires : la Fiche de Données de Sécurité (FDS)</w:t>
      </w:r>
    </w:p>
    <w:p>
      <w:pPr>
        <w:pPr/>
        <w:numPr>
          <w:ilvl w:val="0"/>
          <w:numId w:val="14"/>
        </w:numPr>
      </w:pPr>
      <w:r>
        <w:rPr/>
        <w:t xml:space="preserve">Autres lois: Déclaration De Performances / Fiche de Données environnementales (DE) le cas échéant</w:t>
      </w:r>
    </w:p>
    <w:p>
      <w:pPr>
        <w:pPr/>
        <w:numPr>
          <w:ilvl w:val="0"/>
          <w:numId w:val="14"/>
        </w:numPr>
      </w:pPr>
      <w:r>
        <w:rPr/>
        <w:t xml:space="preserve">Validation des formules pour chacune des unités de production et contrat d'agrément par unité de production signé des 2 parties titulaires/fabricants</w:t>
      </w:r>
    </w:p>
    <w:p>
      <w:pPr>
        <w:pPr/>
        <w:numPr>
          <w:ilvl w:val="0"/>
          <w:numId w:val="14"/>
        </w:numPr>
      </w:pPr>
      <w:r>
        <w:rPr/>
        <w:t xml:space="preserve">Suivi des performances mécaniques et thermiques (le cas échéant) de la chape</w:t>
      </w:r>
    </w:p>
    <w:p>
      <w:pPr/>
      <w:r>
        <w:rPr>
          <w:b/>
          <w:bCs/>
        </w:rPr>
        <w:t xml:space="preserve">Critères d'évaluation</w:t>
      </w:r>
    </w:p>
    <w:p>
      <w:pPr/>
      <w:r>
        <w:rPr/>
        <w:t xml:space="preserve">Retrait fibres sur plancher chauffant:Fourniture par le demandeur des justificatifs techniques sur le comportement mécanique et dimensionnel de la chape : </w:t>
      </w:r>
    </w:p>
    <w:p>
      <w:pPr/>
      <w:r>
        <w:rPr/>
        <w:t xml:space="preserve">Mesure des résistances mécaniques de la chape à 28 jours. </w:t>
      </w:r>
    </w:p>
    <w:p>
      <w:pPr/>
      <w:r>
        <w:rPr/>
        <w:t xml:space="preserve">Mesure du retrait au jeune âge de la chape fibrée et non fibrée en comparaison avec une chape à base de sulfate de calcium qui ne nécessite pas l’ajout de fibres sur PCBT. </w:t>
      </w:r>
    </w:p>
    <w:p>
      <w:pPr/>
      <w:r>
        <w:rPr/>
        <w:t xml:space="preserve">Mesure du retrait sur 4 x 4 x 16 cm de la chape fibrée et non fibrée en comparaison avec une chape à base de sulfate de calcium. </w:t>
      </w:r>
    </w:p>
    <w:p>
      <w:pPr/>
      <w:r>
        <w:rPr/>
        <w:t xml:space="preserve">Fourniture par le demandeur des résultats d’essais de flexion 3 points pour caractériser l’énergie post-fissuration de la chape avec et sans fibres. </w:t>
      </w:r>
    </w:p>
    <w:p>
      <w:pPr/>
      <w:r>
        <w:rPr/>
        <w:t xml:space="preserve">Des références de chantiers sans fibres sur PCBTR présentant un recul de minimum 2 ans (2 cycles de chauffe) assortie d’une visite de chantier.sous condition de maintenir le suivi du retrait trimestriel de la chape avec une valeur revendiquée de – 400 μm/m</w:t>
      </w:r>
    </w:p>
    <w:p>
      <w:pPr>
        <w:ind w:left="2880" w:right="0"/>
      </w:pPr>
      <w:r>
        <w:rPr>
          <w:rStyle w:val="font_h3"/>
        </w:rPr>
        <w:t xml:space="preserve">1.2.2.3.2. Caractéristiques de retrait</w:t>
      </w:r>
    </w:p>
    <w:p>
      <w:pPr>
        <w:ind w:left="2160" w:right="0"/>
      </w:pPr>
      <w:r>
        <w:rPr>
          <w:rStyle w:val="font_h3"/>
        </w:rPr>
        <w:t xml:space="preserve">1.2.2.4. Livraison et marquage</w:t>
      </w:r>
    </w:p>
    <w:p>
      <w:pPr/>
      <w:r>
        <w:rPr/>
        <w:t xml:space="preserve">Validé par le Groupe Spécialisé le 02/10/2018</w:t>
      </w:r>
    </w:p>
    <w:p>
      <w:pPr/>
      <w:r>
        <w:rPr>
          <w:b/>
          <w:bCs/>
        </w:rPr>
        <w:t xml:space="preserve">Description</w:t>
      </w:r>
    </w:p>
    <w:p>
      <w:pPr/>
      <w:r>
        <w:rPr/>
        <w:t xml:space="preserve">Définir le mode de distribution de la chape ainsi que la traçabilité mise en place</w:t>
      </w:r>
    </w:p>
    <w:p>
      <w:pPr/>
      <w:r>
        <w:rPr>
          <w:b/>
          <w:bCs/>
        </w:rPr>
        <w:t xml:space="preserve">Justification</w:t>
      </w:r>
    </w:p>
    <w:p>
      <w:pPr>
        <w:pPr/>
        <w:numPr>
          <w:ilvl w:val="0"/>
          <w:numId w:val="15"/>
        </w:numPr>
      </w:pPr>
      <w:r>
        <w:rPr/>
        <w:t xml:space="preserve">Liste des unités de production agréées</w:t>
      </w:r>
    </w:p>
    <w:p>
      <w:pPr>
        <w:pPr/>
        <w:numPr>
          <w:ilvl w:val="0"/>
          <w:numId w:val="15"/>
        </w:numPr>
      </w:pPr>
      <w:r>
        <w:rPr/>
        <w:t xml:space="preserve">Contrat d'engagement titulaire/CSTB</w:t>
      </w:r>
    </w:p>
    <w:p>
      <w:pPr>
        <w:pPr/>
        <w:numPr>
          <w:ilvl w:val="0"/>
          <w:numId w:val="15"/>
        </w:numPr>
      </w:pPr>
      <w:r>
        <w:rPr/>
        <w:t xml:space="preserve">Description des moyens d’identification sur chantiers :Etiquette de chantierMoyens de traçabilité (proposition suivant le demandeur)</w:t>
      </w:r>
    </w:p>
    <w:p>
      <w:pPr>
        <w:ind w:left="1440" w:right="0"/>
      </w:pPr>
      <w:r>
        <w:rPr>
          <w:rStyle w:val="font_h3"/>
        </w:rPr>
        <w:t xml:space="preserve">1.2.3. Eau</w:t>
      </w:r>
    </w:p>
    <w:p>
      <w:pPr/>
      <w:r>
        <w:rPr/>
        <w:t xml:space="preserve">Validé par le Groupe Spécialisé le 02/10/2018</w:t>
      </w:r>
    </w:p>
    <w:p>
      <w:pPr/>
      <w:r>
        <w:rPr>
          <w:b/>
          <w:bCs/>
        </w:rPr>
        <w:t xml:space="preserve">Description</w:t>
      </w:r>
    </w:p>
    <w:p>
      <w:pPr/>
      <w:r>
        <w:rPr/>
        <w:t xml:space="preserve">conformité à la norme EN 1008</w:t>
      </w:r>
    </w:p>
    <w:p>
      <w:pPr>
        <w:ind w:left="1440" w:right="0"/>
      </w:pPr>
      <w:r>
        <w:rPr>
          <w:rStyle w:val="font_h3"/>
        </w:rPr>
        <w:t xml:space="preserve">1.2.4. Fibres</w:t>
      </w:r>
    </w:p>
    <w:p>
      <w:pPr/>
      <w:r>
        <w:rPr/>
        <w:t xml:space="preserve">Validé par le Groupe Spécialisé le 02/10/2018</w:t>
      </w:r>
    </w:p>
    <w:p>
      <w:pPr/>
      <w:r>
        <w:rPr>
          <w:b/>
          <w:bCs/>
        </w:rPr>
        <w:t xml:space="preserve">Description</w:t>
      </w:r>
    </w:p>
    <w:p>
      <w:pPr/>
      <w:r>
        <w:rPr/>
        <w:t xml:space="preserve">Décrire les fibres employées et leur dosage.</w:t>
      </w:r>
    </w:p>
    <w:p>
      <w:pPr>
        <w:ind w:left="1440" w:right="0"/>
      </w:pPr>
      <w:r>
        <w:rPr>
          <w:rStyle w:val="font_h3"/>
        </w:rPr>
        <w:t xml:space="preserve">1.2.5. Produits associés</w:t>
      </w:r>
    </w:p>
    <w:p>
      <w:pPr/>
      <w:r>
        <w:rPr/>
        <w:t xml:space="preserve">Validé par le Groupe Spécialisé le 02/10/2018</w:t>
      </w:r>
    </w:p>
    <w:p>
      <w:pPr/>
      <w:r>
        <w:rPr>
          <w:b/>
          <w:bCs/>
        </w:rPr>
        <w:t xml:space="preserve">Description</w:t>
      </w:r>
    </w:p>
    <w:p>
      <w:pPr/>
      <w:r>
        <w:rPr/>
        <w:t xml:space="preserve">Préciser l'ensemble des produits associés à la pose de la chape que ce soit en adhérent ou en désolidarisé.</w:t>
      </w:r>
    </w:p>
    <w:p>
      <w:pPr/>
      <w:r>
        <w:rPr/>
        <w:t xml:space="preserve">Par exemple:</w:t>
      </w:r>
    </w:p>
    <w:p>
      <w:pPr>
        <w:pPr/>
        <w:numPr>
          <w:ilvl w:val="0"/>
          <w:numId w:val="16"/>
        </w:numPr>
      </w:pPr>
      <w:r>
        <w:rPr/>
        <w:t xml:space="preserve">les couches de désolidarisation envisagées</w:t>
      </w:r>
    </w:p>
    <w:p>
      <w:pPr>
        <w:pPr/>
        <w:numPr>
          <w:ilvl w:val="0"/>
          <w:numId w:val="16"/>
        </w:numPr>
      </w:pPr>
      <w:r>
        <w:rPr/>
        <w:t xml:space="preserve">les sous-couches isolantes</w:t>
      </w:r>
    </w:p>
    <w:p>
      <w:pPr>
        <w:pPr/>
        <w:numPr>
          <w:ilvl w:val="0"/>
          <w:numId w:val="16"/>
        </w:numPr>
      </w:pPr>
      <w:r>
        <w:rPr/>
        <w:t xml:space="preserve">les primaires</w:t>
      </w:r>
    </w:p>
    <w:p>
      <w:pPr>
        <w:pPr/>
        <w:numPr>
          <w:ilvl w:val="0"/>
          <w:numId w:val="16"/>
        </w:numPr>
      </w:pPr>
      <w:r>
        <w:rPr/>
        <w:t xml:space="preserve">les bandes périphériques</w:t>
      </w:r>
    </w:p>
    <w:p>
      <w:pPr>
        <w:pPr/>
        <w:numPr>
          <w:ilvl w:val="0"/>
          <w:numId w:val="16"/>
        </w:numPr>
      </w:pPr>
      <w:r>
        <w:rPr/>
        <w:t xml:space="preserve">les ravoirages</w:t>
      </w:r>
    </w:p>
    <w:p>
      <w:pPr>
        <w:pPr/>
        <w:numPr>
          <w:ilvl w:val="0"/>
          <w:numId w:val="16"/>
        </w:numPr>
      </w:pPr>
      <w:r>
        <w:rPr/>
        <w:t xml:space="preserve">tout autre produit associé à la mise en œuvre de la chape et décrit dans le dossier.</w:t>
      </w:r>
    </w:p>
    <w:p>
      <w:pPr>
        <w:ind w:left="1440" w:right="0"/>
      </w:pPr>
      <w:r>
        <w:rPr>
          <w:rStyle w:val="font_h3"/>
        </w:rPr>
        <w:t xml:space="preserve">1.2.6. Données environnementales</w:t>
      </w:r>
    </w:p>
    <w:p>
      <w:pPr>
        <w:ind w:left="720" w:right="0"/>
      </w:pPr>
      <w:r>
        <w:rPr>
          <w:rStyle w:val="font_h2"/>
        </w:rPr>
        <w:t xml:space="preserve">1.3. Mode de commercialisation</w:t>
      </w:r>
    </w:p>
    <w:p>
      <w:pPr/>
      <w:r>
        <w:rPr>
          <w:rStyle w:val="font_h1"/>
        </w:rPr>
        <w:t xml:space="preserve">2. Domaine d'emploi</w:t>
      </w:r>
    </w:p>
    <w:p>
      <w:pPr>
        <w:ind w:left="720" w:right="0"/>
      </w:pPr>
      <w:r>
        <w:rPr>
          <w:rStyle w:val="font_h2"/>
        </w:rPr>
        <w:t xml:space="preserve">2.1. Zone géographique</w:t>
      </w:r>
    </w:p>
    <w:p>
      <w:pPr>
        <w:ind w:left="720" w:right="0"/>
      </w:pPr>
      <w:r>
        <w:rPr>
          <w:rStyle w:val="font_h2"/>
        </w:rPr>
        <w:t xml:space="preserve">2.2. Ouvrages visés</w:t>
      </w:r>
    </w:p>
    <w:p>
      <w:pPr/>
      <w:r>
        <w:rPr/>
        <w:t xml:space="preserve">Validé par le Groupe Spécialisé le 02/10/2018</w:t>
      </w:r>
    </w:p>
    <w:p>
      <w:pPr/>
      <w:r>
        <w:rPr>
          <w:b/>
          <w:bCs/>
        </w:rPr>
        <w:t xml:space="preserve">Description</w:t>
      </w:r>
    </w:p>
    <w:p>
      <w:pPr/>
      <w:r>
        <w:rPr/>
        <w:t xml:space="preserve">Le domaine d’application,  les supports admissibles et la nature des revêtements et des colles associées sont définis dans le « Cahier des Prescriptions Techniques d’Exécution des chapes fluides à base de sulfate de calcium » (e-cahier du CSTB - Cahier n° 3578_V3).Indiquer à ce niveau les planchers chauffants qui sont visés.</w:t>
      </w:r>
    </w:p>
    <w:p>
      <w:pPr/>
      <w:r>
        <w:rPr>
          <w:b/>
          <w:bCs/>
        </w:rPr>
        <w:t xml:space="preserve">Justification</w:t>
      </w:r>
    </w:p>
    <w:p>
      <w:pPr>
        <w:pPr/>
        <w:numPr>
          <w:ilvl w:val="0"/>
          <w:numId w:val="17"/>
        </w:numPr>
      </w:pPr>
      <w:r>
        <w:rPr/>
        <w:t xml:space="preserve">Rapport d'essais</w:t>
      </w:r>
    </w:p>
    <w:p>
      <w:pPr>
        <w:ind w:left="720" w:right="0"/>
      </w:pPr>
      <w:r>
        <w:rPr>
          <w:rStyle w:val="font_h2"/>
        </w:rPr>
        <w:t xml:space="preserve">2.3. Epaisseur de chape</w:t>
      </w:r>
    </w:p>
    <w:p>
      <w:pPr/>
      <w:r>
        <w:rPr/>
        <w:t xml:space="preserve">Validé par le Groupe Spécialisé le 02/10/2018</w:t>
      </w:r>
    </w:p>
    <w:p>
      <w:pPr/>
      <w:r>
        <w:rPr>
          <w:b/>
          <w:bCs/>
        </w:rPr>
        <w:t xml:space="preserve">Description</w:t>
      </w:r>
    </w:p>
    <w:p>
      <w:pPr/>
      <w:r>
        <w:rPr/>
        <w:t xml:space="preserve">Inclure un tableau précisant les épaisseurs minimales de chape visées en fonction des configurations de pose.Préciser les sous-couches isolantes visées ainsi que la masse des cloisons légères autorisées.</w:t>
      </w:r>
    </w:p>
    <w:p>
      <w:pPr>
        <w:ind w:left="720" w:right="0"/>
      </w:pPr>
      <w:r>
        <w:rPr>
          <w:rStyle w:val="font_h2"/>
        </w:rPr>
        <w:t xml:space="preserve">2.4. Aptitude à l'emploi du procédé ( comportement au feu, durabilité...)</w:t>
      </w:r>
    </w:p>
    <w:p>
      <w:pPr/>
      <w:r>
        <w:rPr>
          <w:rStyle w:val="font_h1"/>
        </w:rPr>
        <w:t xml:space="preserve">3. Dispositions de conception</w:t>
      </w:r>
    </w:p>
    <w:p>
      <w:pPr/>
      <w:r>
        <w:rPr>
          <w:rStyle w:val="font_h1"/>
        </w:rPr>
        <w:t xml:space="preserve">4. Dispositions de mise en oeuvre de la chape</w:t>
      </w:r>
    </w:p>
    <w:p>
      <w:pPr>
        <w:ind w:left="720" w:right="0"/>
      </w:pPr>
      <w:r>
        <w:rPr>
          <w:rStyle w:val="font_h2"/>
        </w:rPr>
        <w:t xml:space="preserve">4.1. Généralités et Choix du type de chape</w:t>
      </w:r>
    </w:p>
    <w:p>
      <w:pPr/>
      <w:r>
        <w:rPr/>
        <w:t xml:space="preserve">Validé par le Groupe Spécialisé le 02/10/2018</w:t>
      </w:r>
    </w:p>
    <w:p>
      <w:pPr/>
      <w:r>
        <w:rPr>
          <w:b/>
          <w:bCs/>
        </w:rPr>
        <w:t xml:space="preserve">Description</w:t>
      </w:r>
    </w:p>
    <w:p>
      <w:pPr/>
      <w:r>
        <w:rPr/>
        <w:t xml:space="preserve">D’une manière générale, on se reportera au § 6 du « Cahier des Prescriptions Techniques d’Exécution des Chapes fluides à base de sulfate de calcium » (e-cahier du CSTB - cahier n°3578_V3) qui précise :</w:t>
      </w:r>
    </w:p>
    <w:p>
      <w:pPr>
        <w:pPr/>
        <w:numPr>
          <w:ilvl w:val="0"/>
          <w:numId w:val="18"/>
        </w:numPr>
      </w:pPr>
      <w:r>
        <w:rPr/>
        <w:t xml:space="preserve">les conditions préalables à la pose,</w:t>
      </w:r>
    </w:p>
    <w:p>
      <w:pPr>
        <w:pPr/>
        <w:numPr>
          <w:ilvl w:val="0"/>
          <w:numId w:val="18"/>
        </w:numPr>
      </w:pPr>
      <w:r>
        <w:rPr/>
        <w:t xml:space="preserve">les travaux préliminaires au coulage,</w:t>
      </w:r>
    </w:p>
    <w:p>
      <w:pPr>
        <w:pPr/>
        <w:numPr>
          <w:ilvl w:val="0"/>
          <w:numId w:val="18"/>
        </w:numPr>
      </w:pPr>
      <w:r>
        <w:rPr/>
        <w:t xml:space="preserve">le coulage proprement dit.</w:t>
      </w:r>
    </w:p>
    <w:p>
      <w:pPr/>
      <w:r>
        <w:rPr/>
        <w:t xml:space="preserve">Le choix du type de chape fibrée ou non sera décrit.</w:t>
      </w:r>
    </w:p>
    <w:p>
      <w:pPr>
        <w:ind w:left="720" w:right="0"/>
      </w:pPr>
      <w:r>
        <w:rPr>
          <w:rStyle w:val="font_h2"/>
        </w:rPr>
        <w:t xml:space="preserve">4.2. Travaux préliminaires</w:t>
      </w:r>
    </w:p>
    <w:p>
      <w:pPr/>
      <w:r>
        <w:rPr/>
        <w:t xml:space="preserve">Validé par le Groupe Spécialisé le 02/10/2018</w:t>
      </w:r>
    </w:p>
    <w:p>
      <w:pPr/>
      <w:r>
        <w:rPr>
          <w:b/>
          <w:bCs/>
        </w:rPr>
        <w:t xml:space="preserve">Description</w:t>
      </w:r>
    </w:p>
    <w:p>
      <w:pPr/>
      <w:r>
        <w:rPr/>
        <w:t xml:space="preserve">Ils sont réalisés conformément au § 6.3 du « Cahier des Prescriptions Techniques d’Exécution des chapes fluides à base de sulfate de calcium » (e-cahier du CSTB - cahier n° 3578_V3) ou suivant les indications plus spécifiques à préciser.</w:t>
      </w:r>
    </w:p>
    <w:p>
      <w:pPr>
        <w:ind w:left="720" w:right="0"/>
      </w:pPr>
      <w:r>
        <w:rPr>
          <w:rStyle w:val="font_h2"/>
        </w:rPr>
        <w:t xml:space="preserve">4.3. Coulage de la chape</w:t>
      </w:r>
    </w:p>
    <w:p>
      <w:pPr/>
      <w:r>
        <w:rPr/>
        <w:t xml:space="preserve">Validé par le Groupe Spécialisé le 02/10/2018</w:t>
      </w:r>
    </w:p>
    <w:p>
      <w:pPr/>
      <w:r>
        <w:rPr>
          <w:b/>
          <w:bCs/>
        </w:rPr>
        <w:t xml:space="preserve">Description</w:t>
      </w:r>
    </w:p>
    <w:p>
      <w:pPr/>
      <w:r>
        <w:rPr/>
        <w:t xml:space="preserve">Décrire la fourchette d'étalement autorisée sur chantier.</w:t>
      </w:r>
    </w:p>
    <w:p>
      <w:pPr/>
      <w:r>
        <w:rPr/>
        <w:t xml:space="preserve">Le déroulement du coulage est décrit au § 6.4 du « Cahier des Prescriptions Technique d’exécution des Chapes fluides à base de sulfate de calcium » (e-cahier du CSTB - cahier n° 3578_V3).</w:t>
      </w:r>
    </w:p>
    <w:p>
      <w:pPr>
        <w:ind w:left="720" w:right="0"/>
      </w:pPr>
      <w:r>
        <w:rPr>
          <w:rStyle w:val="font_h2"/>
        </w:rPr>
        <w:t xml:space="preserve">4.4. Travaux de finition</w:t>
      </w:r>
    </w:p>
    <w:p>
      <w:pPr/>
      <w:r>
        <w:rPr/>
        <w:t xml:space="preserve">Validé par le Groupe Spécialisé le 02/10/2018</w:t>
      </w:r>
    </w:p>
    <w:p>
      <w:pPr/>
      <w:r>
        <w:rPr>
          <w:b/>
          <w:bCs/>
        </w:rPr>
        <w:t xml:space="preserve">Description</w:t>
      </w:r>
    </w:p>
    <w:p>
      <w:pPr/>
      <w:r>
        <w:rPr/>
        <w:t xml:space="preserve">Les conditions de protection, de séchage, de mise en service, de réalisation des joints, de réparation des fissures et d’élimination de la pellicule de surface de la chape (si tel est le cas) sont précisées au paragraphe 6.5 du « Cahier des Prescriptions Techniques d’exécution des Chapes fluides à base de sulfate de calcium » (e-cahier du CSTB - cahier n° 3578_V3).</w:t>
      </w:r>
    </w:p>
    <w:p>
      <w:pPr/>
      <w:r>
        <w:rPr>
          <w:rStyle w:val="font_h1"/>
        </w:rPr>
        <w:t xml:space="preserve">5. Conditions particulières de mise en oeuvre pour la réalisation d'une chape chauffante</w:t>
      </w:r>
    </w:p>
    <w:p>
      <w:pPr>
        <w:ind w:left="720" w:right="0"/>
      </w:pPr>
      <w:r>
        <w:rPr>
          <w:rStyle w:val="font_h2"/>
        </w:rPr>
        <w:t xml:space="preserve">5.1. Généralités</w:t>
      </w:r>
    </w:p>
    <w:p>
      <w:pPr/>
      <w:r>
        <w:rPr/>
        <w:t xml:space="preserve">Validé par le Groupe Spécialisé le 23/09/2021</w:t>
      </w:r>
    </w:p>
    <w:p>
      <w:pPr/>
      <w:r>
        <w:rPr>
          <w:b/>
          <w:bCs/>
        </w:rPr>
        <w:t xml:space="preserve">Description</w:t>
      </w:r>
    </w:p>
    <w:p>
      <w:pPr/>
      <w:r>
        <w:rPr/>
        <w:t xml:space="preserve">Les conditions sont définies au § 7 du « Cahier des Prescriptions Technique d’Exécution des Chape fluides à base de sulfate de calcium » (e-cahier du CSTB - Cahier n° 3578_V3) sauf si précision de mise en œuvre spécifique qui sont à décrire dans ce paragraphe, par exemple:</w:t>
      </w:r>
    </w:p>
    <w:p>
      <w:pPr>
        <w:pPr/>
        <w:numPr>
          <w:ilvl w:val="0"/>
          <w:numId w:val="19"/>
        </w:numPr>
      </w:pPr>
      <w:r>
        <w:rPr/>
        <w:t xml:space="preserve">épaisseur spécifique</w:t>
      </w:r>
    </w:p>
    <w:p>
      <w:pPr>
        <w:pPr/>
        <w:numPr>
          <w:ilvl w:val="0"/>
          <w:numId w:val="19"/>
        </w:numPr>
      </w:pPr>
      <w:r>
        <w:rPr/>
        <w:t xml:space="preserve">procédure mise en chauffe différente</w:t>
      </w:r>
    </w:p>
    <w:p>
      <w:pPr>
        <w:pPr/>
        <w:numPr>
          <w:ilvl w:val="0"/>
          <w:numId w:val="19"/>
        </w:numPr>
      </w:pPr>
      <w:r>
        <w:rPr/>
        <w:t xml:space="preserve">enrobage possible de PRE</w:t>
      </w:r>
    </w:p>
    <w:p>
      <w:pPr/>
      <w:r>
        <w:rPr>
          <w:b/>
          <w:bCs/>
        </w:rPr>
        <w:t xml:space="preserve">Justification</w:t>
      </w:r>
    </w:p>
    <w:p>
      <w:pPr/>
      <w:r>
        <w:rPr/>
        <w:t xml:space="preserve">Pour pouvoir prétendre à l'enrobage de PRE, les conditions suivantes devront être remplies:•   La chape devra présenter à minima des caractéristiques mécaniques C30-F6,•   Un essai de blocage thermique devra être réalisé et présenté aux membres du Groupe,•   Les références chantiers présentées devront être représentatives d‘au moins 2 saisons de chauffe.</w:t>
      </w:r>
    </w:p>
    <w:p>
      <w:pPr/>
      <w:r>
        <w:rPr>
          <w:b/>
          <w:bCs/>
        </w:rPr>
        <w:t xml:space="preserve">Critères d'évaluation</w:t>
      </w:r>
    </w:p>
    <w:p>
      <w:pPr/>
      <w:r>
        <w:rPr/>
        <w:t xml:space="preserve">L’essai de blocage thermique est validé avec l’argumentaire proposé concernant la microfissure apparue au palier 55-60 °C et du fait du niveau d’isolation actuel des bâtiments et des puissances installées limitées, sous condition également que les épaisseurs minimales revendiquées en enrobage de PRE soient de 5 cm sur SC1 et de 6 cm sur SC2, tel que cela a été réalisé lors de l’essai.</w:t>
      </w:r>
    </w:p>
    <w:p>
      <w:pPr>
        <w:ind w:left="720" w:right="0"/>
      </w:pPr>
      <w:r>
        <w:rPr>
          <w:rStyle w:val="font_h2"/>
        </w:rPr>
        <w:t xml:space="preserve">5.2. Cas des P.R.E.</w:t>
      </w:r>
    </w:p>
    <w:p>
      <w:pPr>
        <w:ind w:left="1440" w:right="0"/>
      </w:pPr>
      <w:r>
        <w:rPr>
          <w:rStyle w:val="font_h3"/>
        </w:rPr>
        <w:t xml:space="preserve">5.2.1. Conditions</w:t>
      </w:r>
    </w:p>
    <w:p>
      <w:pPr/>
      <w:r>
        <w:rPr/>
        <w:t xml:space="preserve">Validé par le Groupe Spécialisé le 04/02/2020</w:t>
      </w:r>
    </w:p>
    <w:p>
      <w:pPr/>
      <w:r>
        <w:rPr>
          <w:b/>
          <w:bCs/>
        </w:rPr>
        <w:t xml:space="preserve">Description</w:t>
      </w:r>
    </w:p>
    <w:p>
      <w:pPr/>
      <w:r>
        <w:rPr/>
        <w:t xml:space="preserve">Le Groupe a émis une jurisprudence concernant l’évaluation de l’enrobage des PRE par les chapes fluides à base de sulfate de calcium.Dorénavant, les conditions suivantes devront être remplies : </w:t>
      </w:r>
    </w:p>
    <w:p>
      <w:pPr>
        <w:pPr/>
        <w:numPr>
          <w:ilvl w:val="0"/>
          <w:numId w:val="20"/>
        </w:numPr>
      </w:pPr>
      <w:r>
        <w:rPr/>
        <w:t xml:space="preserve">La chape devra présenter à minima des caractéristiques mécaniques C30-F6,</w:t>
      </w:r>
    </w:p>
    <w:p>
      <w:pPr>
        <w:pPr/>
        <w:numPr>
          <w:ilvl w:val="0"/>
          <w:numId w:val="20"/>
        </w:numPr>
      </w:pPr>
      <w:r>
        <w:rPr/>
        <w:t xml:space="preserve">Un essai de blocage thermique devra être réalisé et présenté aux membres du Groupe,</w:t>
      </w:r>
    </w:p>
    <w:p>
      <w:pPr>
        <w:pPr/>
        <w:numPr>
          <w:ilvl w:val="0"/>
          <w:numId w:val="20"/>
        </w:numPr>
      </w:pPr>
      <w:r>
        <w:rPr/>
        <w:t xml:space="preserve">Les références chantiers présentées devront être représentatives d‘au moins 2 saisons de chauffe.</w:t>
      </w:r>
    </w:p>
    <w:p>
      <w:pPr/>
      <w:r>
        <w:rPr>
          <w:b/>
          <w:bCs/>
        </w:rPr>
        <w:t xml:space="preserve">Justification</w:t>
      </w:r>
    </w:p>
    <w:p>
      <w:pPr>
        <w:pPr/>
        <w:numPr>
          <w:ilvl w:val="0"/>
          <w:numId w:val="21"/>
        </w:numPr>
      </w:pPr>
      <w:r>
        <w:rPr/>
        <w:t xml:space="preserve">La chape devra présenter à minima des caractéristiques mécaniques C30-F6,</w:t>
      </w:r>
    </w:p>
    <w:p>
      <w:pPr>
        <w:pPr/>
        <w:numPr>
          <w:ilvl w:val="0"/>
          <w:numId w:val="21"/>
        </w:numPr>
      </w:pPr>
      <w:r>
        <w:rPr/>
        <w:t xml:space="preserve">Un essai de blocage thermique devra être réalisé et présenté aux membres du Groupe,</w:t>
      </w:r>
    </w:p>
    <w:p>
      <w:pPr>
        <w:pPr/>
        <w:numPr>
          <w:ilvl w:val="0"/>
          <w:numId w:val="21"/>
        </w:numPr>
      </w:pPr>
      <w:r>
        <w:rPr/>
        <w:t xml:space="preserve">Les références chantiers présentées devront être représentatives d‘au moins 2 saisons de chauffe.</w:t>
      </w:r>
    </w:p>
    <w:p>
      <w:pPr>
        <w:ind w:left="1440" w:right="0"/>
      </w:pPr>
      <w:r>
        <w:rPr>
          <w:rStyle w:val="font_h3"/>
        </w:rPr>
        <w:t xml:space="preserve">5.2.2. Mise en chauffe précoce des PRE</w:t>
      </w:r>
    </w:p>
    <w:p>
      <w:pPr/>
      <w:r>
        <w:rPr>
          <w:rStyle w:val="font_h1"/>
        </w:rPr>
        <w:t xml:space="preserve">6. Pose de cloisons légères et pose de revêtements de sol</w:t>
      </w:r>
    </w:p>
    <w:p>
      <w:pPr/>
      <w:r>
        <w:rPr/>
        <w:t xml:space="preserve">Validé par le Groupe Spécialisé le 02/10/2018</w:t>
      </w:r>
    </w:p>
    <w:p>
      <w:pPr/>
      <w:r>
        <w:rPr>
          <w:b/>
          <w:bCs/>
        </w:rPr>
        <w:t xml:space="preserve">Description</w:t>
      </w:r>
    </w:p>
    <w:p>
      <w:pPr/>
      <w:r>
        <w:rPr/>
        <w:t xml:space="preserve">Les conditions de pose des cloisons légères sont précisées au § 8 du « Cahier des Prescriptions Techniques d’Exécution des Chapes fluides à base de sulfate de calcium » (e-cahier du CSTB - cahier n° 3578_V3).Les revêtements de sol sont posés après vérification de l’état de surface de la chape.</w:t>
      </w:r>
    </w:p>
    <w:p>
      <w:pPr/>
      <w:r>
        <w:rPr/>
        <w:t xml:space="preserve">Les conditions de pose des revêtements de sol, d’appareils sanitaires et d’entretien des sols, sont précisées aux § 9, 10 et 11 du « Cahier des Prescriptions Techniques d’Exécution des Chapes fluides à base de sulfate de calcium » (e-cahier du CSTB - cahier n° 3578_V3).Les différents revêtements de sol sont posés selon les prescriptions définies dans les Cahiers des Prescriptions Techniques ou NF DTU les concernant.</w:t>
      </w:r>
    </w:p>
    <w:p>
      <w:pPr/>
      <w:r>
        <w:rPr>
          <w:rStyle w:val="font_h1"/>
        </w:rPr>
        <w:t xml:space="preserve">7. Maintien en service du produit ou procédé</w:t>
      </w:r>
    </w:p>
    <w:p>
      <w:pPr/>
      <w:r>
        <w:rPr>
          <w:rStyle w:val="font_h1"/>
        </w:rPr>
        <w:t xml:space="preserve">8. Traitement en fin de vie</w:t>
      </w:r>
    </w:p>
    <w:p>
      <w:pPr/>
      <w:r>
        <w:rPr>
          <w:rStyle w:val="font_h1"/>
        </w:rPr>
        <w:t xml:space="preserve">9. Assistance technique</w:t>
      </w:r>
    </w:p>
    <w:p>
      <w:pPr/>
      <w:r>
        <w:rPr/>
        <w:t xml:space="preserve">Validé par le Groupe Spécialisé le 02/10/2018</w:t>
      </w:r>
    </w:p>
    <w:p>
      <w:pPr/>
      <w:r>
        <w:rPr>
          <w:b/>
          <w:bCs/>
        </w:rPr>
        <w:t xml:space="preserve">Description</w:t>
      </w:r>
    </w:p>
    <w:p>
      <w:pPr/>
      <w:r>
        <w:rPr/>
        <w:t xml:space="preserve">Préciser la formation théorique et pratique apportée aux utilisateurs par le titulaire de l'avis technique ou du DTA</w:t>
      </w:r>
    </w:p>
    <w:p>
      <w:pPr/>
      <w:r>
        <w:rPr>
          <w:b/>
          <w:bCs/>
        </w:rPr>
        <w:t xml:space="preserve">Justification</w:t>
      </w:r>
    </w:p>
    <w:p>
      <w:pPr/>
      <w:r>
        <w:rPr/>
        <w:t xml:space="preserve">Module de formation des applicateurs en place.</w:t>
      </w:r>
    </w:p>
    <w:p>
      <w:pPr/>
      <w:r>
        <w:rPr>
          <w:rStyle w:val="font_h1"/>
        </w:rPr>
        <w:t xml:space="preserve">10. Fabrication et Contrôles</w:t>
      </w:r>
    </w:p>
    <w:p>
      <w:pPr>
        <w:ind w:left="720" w:right="0"/>
      </w:pPr>
      <w:r>
        <w:rPr>
          <w:rStyle w:val="font_h2"/>
        </w:rPr>
        <w:t xml:space="preserve">10.1. Centre de fabrication</w:t>
      </w:r>
    </w:p>
    <w:p>
      <w:pPr>
        <w:ind w:left="1440" w:right="0"/>
      </w:pPr>
      <w:r>
        <w:rPr>
          <w:rStyle w:val="font_h3"/>
        </w:rPr>
        <w:t xml:space="preserve">10.1.1. Liant</w:t>
      </w:r>
    </w:p>
    <w:p>
      <w:pPr/>
      <w:r>
        <w:rPr/>
        <w:t xml:space="preserve">Validé par le Groupe Spécialisé le 02/10/2018</w:t>
      </w:r>
    </w:p>
    <w:p>
      <w:pPr/>
      <w:r>
        <w:rPr>
          <w:b/>
          <w:bCs/>
        </w:rPr>
        <w:t xml:space="preserve">Description</w:t>
      </w:r>
    </w:p>
    <w:p>
      <w:pPr/>
      <w:r>
        <w:rPr/>
        <w:t xml:space="preserve">Indiquer le lieu de fabrication du liant</w:t>
      </w:r>
    </w:p>
    <w:p>
      <w:pPr>
        <w:ind w:left="1440" w:right="0"/>
      </w:pPr>
      <w:r>
        <w:rPr>
          <w:rStyle w:val="font_h3"/>
        </w:rPr>
        <w:t xml:space="preserve">10.1.2. Mortier</w:t>
      </w:r>
    </w:p>
    <w:p>
      <w:pPr>
        <w:ind w:left="2160" w:right="0"/>
      </w:pPr>
      <w:r>
        <w:rPr>
          <w:rStyle w:val="font_h3"/>
        </w:rPr>
        <w:t xml:space="preserve">10.1.2.4. Cas des procédés certifiés QB46</w:t>
      </w:r>
    </w:p>
    <w:p>
      <w:pPr>
        <w:ind w:left="2160" w:right="0"/>
      </w:pPr>
      <w:r>
        <w:rPr>
          <w:rStyle w:val="font_h3"/>
        </w:rPr>
        <w:t xml:space="preserve">10.1.2.5. Cas des procédés non certifiés QB46</w:t>
      </w:r>
    </w:p>
    <w:p>
      <w:pPr>
        <w:ind w:left="720" w:right="0"/>
      </w:pPr>
      <w:r>
        <w:rPr>
          <w:rStyle w:val="font_h2"/>
        </w:rPr>
        <w:t xml:space="preserve">10.2. Fabrication du mortier</w:t>
      </w:r>
    </w:p>
    <w:p>
      <w:pPr>
        <w:ind w:left="1440" w:right="0"/>
      </w:pPr>
      <w:r>
        <w:rPr>
          <w:rStyle w:val="font_h3"/>
        </w:rPr>
        <w:t xml:space="preserve">10.2.1. Généralités</w:t>
      </w:r>
    </w:p>
    <w:p>
      <w:pPr/>
      <w:r>
        <w:rPr/>
        <w:t xml:space="preserve">Validé par le Groupe Spécialisé le 15/10/2020</w:t>
      </w:r>
    </w:p>
    <w:p>
      <w:pPr/>
      <w:r>
        <w:rPr>
          <w:b/>
          <w:bCs/>
        </w:rPr>
        <w:t xml:space="preserve">Description</w:t>
      </w:r>
    </w:p>
    <w:p>
      <w:pPr/>
      <w:r>
        <w:rPr/>
        <w:t xml:space="preserve">Indiquer le mode de distribution.</w:t>
      </w:r>
    </w:p>
    <w:p>
      <w:pPr/>
      <w:r>
        <w:rPr/>
        <w:t xml:space="preserve">Décrire l'ordre d'incorporation des matériaux ainsi que le mode de malaxage. Préciser les ajouts éventuels au moment de la fabrication et dans quel cas.</w:t>
      </w:r>
    </w:p>
    <w:p>
      <w:pPr/>
      <w:r>
        <w:rPr/>
        <w:t xml:space="preserve">L'étalement départ unité de production doit être précisé.</w:t>
      </w:r>
    </w:p>
    <w:p>
      <w:pPr/>
      <w:r>
        <w:rPr/>
        <w:t xml:space="preserve">Le Groupe a émis une jurisprudence concernant les procédés de chapes fluides revendiquant leur fabrication selon 2 modes de distribution (centrale mobile et centrale à béton) : </w:t>
      </w:r>
    </w:p>
    <w:p>
      <w:pPr>
        <w:pPr/>
        <w:numPr>
          <w:ilvl w:val="0"/>
          <w:numId w:val="22"/>
        </w:numPr>
      </w:pPr>
      <w:r>
        <w:rPr/>
        <w:t xml:space="preserve">Les caractéristiques du procédé de chape fluide en sortie des deux centres de fabrication se doivent d’être strictement équivalentes afin d’ôter toutes confusions possibles vis-à-vis de l’applicateur final :o   basée sur le même concept de formulation, la formule se doit d’être identique (liant et adjuvantation à dosage identique pour un sable donné),o   les propriétés du mortier gâché à l’état frais devront être similaires : rhéologie de la chape (étalement initial, maintien d’étalement), masse volumique, temps de prise,o   selon les revendications de la chape, les performances mécaniques à l’état durci devront satisfaire les revendications du DTA : résistances mécaniques, cohésion de surface, etc.,o   il importe de garantir une traçabilité équivalente des pesées et des informations disponibles sur les bons de livraison que ce soit en centrale à béton ou en centrale mobile. </w:t>
      </w:r>
    </w:p>
    <w:p>
      <w:pPr>
        <w:pPr/>
        <w:numPr>
          <w:ilvl w:val="0"/>
          <w:numId w:val="22"/>
        </w:numPr>
      </w:pPr>
      <w:r>
        <w:rPr/>
        <w:t xml:space="preserve">Il convient de mettre en place un module de formation spécifique décrivant les 2 modes de fabrication lors de la formation des applicateurs.</w:t>
      </w:r>
    </w:p>
    <w:p>
      <w:pPr>
        <w:pPr/>
        <w:numPr>
          <w:ilvl w:val="0"/>
          <w:numId w:val="22"/>
        </w:numPr>
      </w:pPr>
      <w:r>
        <w:rPr/>
        <w:t xml:space="preserve">Le maintien d’étalement devra être caractérisé pour toute validation de formule et les résultats formalisés dans les dossiers de demande d’agrément des centrales mobiles et des centrales à béton en respectant les revendications du DTA.</w:t>
      </w:r>
    </w:p>
    <w:p>
      <w:pPr>
        <w:pPr/>
        <w:numPr>
          <w:ilvl w:val="0"/>
          <w:numId w:val="22"/>
        </w:numPr>
      </w:pPr>
      <w:r>
        <w:rPr/>
        <w:t xml:space="preserve">Deux listes de centrales agréées seront associées au DTA. Une liste pour les centrales à béton fixes et une liste pour les centrales mobiles. De plus, les experts ont acté qu’un audit pour chaque mode de distribution devra être réalisé chaque année.</w:t>
      </w:r>
    </w:p>
    <w:p>
      <w:pPr/>
      <w:r>
        <w:rPr>
          <w:b/>
          <w:bCs/>
        </w:rPr>
        <w:t xml:space="preserve">Justification</w:t>
      </w:r>
    </w:p>
    <w:p>
      <w:pPr/>
      <w:r>
        <w:rPr/>
        <w:t xml:space="preserve">Il a notamment été rappelé qu’au-delà de caractériser deux modes de distribution, il était nécessaire de s’assurer que les deux formules testées présentent bien un sable différent. Le groupe a donc acté:</w:t>
      </w:r>
    </w:p>
    <w:p>
      <w:pPr>
        <w:pPr/>
        <w:numPr>
          <w:ilvl w:val="0"/>
          <w:numId w:val="23"/>
        </w:numPr>
      </w:pPr>
      <w:r>
        <w:rPr/>
        <w:t xml:space="preserve">Dans le cadre d’une nouvelle demande d’Avis Technique revendiquant un double mode de distribution : Les deux modes de distribution décrits dans le dossier technique sont évalués selon le programme d’essais complet de référence. Un soin particulier sera apporté à la sélection des centres de production en fonction du sable utilisé afin de réaliser les essais sur deux natures de sable différentes. Un audit de démarrage d’un des deux centres de distribution est réalisé incluant des prélèvements réalisés sur chantier.</w:t>
      </w:r>
    </w:p>
    <w:p>
      <w:pPr>
        <w:pPr/>
        <w:numPr>
          <w:ilvl w:val="0"/>
          <w:numId w:val="23"/>
        </w:numPr>
      </w:pPr>
      <w:r>
        <w:rPr/>
        <w:t xml:space="preserve">Dans le cadre de l’ajout d’un nouveau de mode de distribution à un procédé déjà sous Avis Technique : Le mode de distribution nouvellement introduit dans le dossier technique est évalué selon le programme d’essais complet de référence. Un audit de démarrage du nouveau centre de distribution est réalisé incluant des prélèvements réalisés sur chantier. Un essai de maintien ainsi qu’un essai de résistance mécanique sont réalisés à partir des matériaux du centre de distribution initialement présent dans le DTA. Un soin particulier sera apporté à la sélection des centres de production en fonction du sable utilisé afin de réaliser les essais sur deux natures de sable différentes.</w:t>
      </w:r>
    </w:p>
    <w:p>
      <w:pPr>
        <w:pPr/>
        <w:numPr>
          <w:ilvl w:val="0"/>
          <w:numId w:val="23"/>
        </w:numPr>
      </w:pPr>
      <w:r>
        <w:rPr/>
        <w:t xml:space="preserve">Dans le cadre de la révision d’un Avis Technique revendiquant déjà plusieurs modes de distribution : Un des modes de distribution est évalué selon le programme d’essais complet de référence. L’autre mode de distribution est évalué par le biais d’un essai de maintien ainsi qu’un essai de résistance mécanique. Un soin particulier sera apporté à la sélection des centres de production en fonction du sable utilisé afin de réaliser les essais sur deux natures de sable différentes.</w:t>
      </w:r>
    </w:p>
    <w:p>
      <w:pPr>
        <w:ind w:left="1440" w:right="0"/>
      </w:pPr>
      <w:r>
        <w:rPr>
          <w:rStyle w:val="font_h3"/>
        </w:rPr>
        <w:t xml:space="preserve">10.2.2. Réception et réglage sur chantier</w:t>
      </w:r>
    </w:p>
    <w:p>
      <w:pPr/>
      <w:r>
        <w:rPr/>
        <w:t xml:space="preserve">Validé par le Groupe Spécialisé le 02/10/2018</w:t>
      </w:r>
    </w:p>
    <w:p>
      <w:pPr/>
      <w:r>
        <w:rPr>
          <w:b/>
          <w:bCs/>
        </w:rPr>
        <w:t xml:space="preserve">Description</w:t>
      </w:r>
    </w:p>
    <w:p>
      <w:pPr/>
      <w:r>
        <w:rPr/>
        <w:t xml:space="preserve">La consistance du produit doit être vérifiée par l’applicateur, en présence du chauffeur du camion à réception et avant démarrage du chantier (mesure de l’étalement). La fluidité peut être ajustée conformément au cahier des charges de la formule propre à la centrale par ajout d’eau si nécessaire.</w:t>
      </w:r>
    </w:p>
    <w:p>
      <w:pPr/>
      <w:r>
        <w:rPr/>
        <w:t xml:space="preserve">Décrire la procédure pour l'ajout d'eau autorisé.</w:t>
      </w:r>
    </w:p>
    <w:p>
      <w:pPr>
        <w:ind w:left="1440" w:right="0"/>
      </w:pPr>
      <w:r>
        <w:rPr>
          <w:rStyle w:val="font_h3"/>
        </w:rPr>
        <w:t xml:space="preserve">10.2.3. Cas des camions mobiles</w:t>
      </w:r>
    </w:p>
    <w:p>
      <w:pPr>
        <w:ind w:left="720" w:right="0"/>
      </w:pPr>
      <w:r>
        <w:rPr>
          <w:rStyle w:val="font_h2"/>
        </w:rPr>
        <w:t xml:space="preserve">10.3. Contrôles</w:t>
      </w:r>
    </w:p>
    <w:p>
      <w:pPr>
        <w:ind w:left="1440" w:right="0"/>
      </w:pPr>
      <w:r>
        <w:rPr>
          <w:rStyle w:val="font_h3"/>
        </w:rPr>
        <w:t xml:space="preserve">10.3.1. Généralités</w:t>
      </w:r>
    </w:p>
    <w:p>
      <w:pPr/>
      <w:r>
        <w:rPr/>
        <w:t xml:space="preserve">Validé par le Groupe Spécialisé le 02/10/2018</w:t>
      </w:r>
    </w:p>
    <w:p>
      <w:pPr/>
      <w:r>
        <w:rPr>
          <w:b/>
          <w:bCs/>
        </w:rPr>
        <w:t xml:space="preserve">Description</w:t>
      </w:r>
    </w:p>
    <w:p>
      <w:pPr/>
      <w:r>
        <w:rPr/>
        <w:t xml:space="preserve">Décrire les contrôles effectués sur mortier frais et sur mortier durci avec leur fréquence.</w:t>
      </w:r>
    </w:p>
    <w:p>
      <w:pPr/>
      <w:r>
        <w:rPr>
          <w:b/>
          <w:bCs/>
        </w:rPr>
        <w:t xml:space="preserve">Justification</w:t>
      </w:r>
    </w:p>
    <w:p>
      <w:pPr/>
      <w:r>
        <w:rPr/>
        <w:t xml:space="preserve">Justification du suivi de fabrication</w:t>
      </w:r>
    </w:p>
    <w:p>
      <w:pPr>
        <w:pPr/>
        <w:numPr>
          <w:ilvl w:val="0"/>
          <w:numId w:val="24"/>
        </w:numPr>
      </w:pPr>
      <w:r>
        <w:rPr/>
        <w:t xml:space="preserve">Pour les chapes fabriquées en centrales mobiles, centrales à béton, silos mobile : prélèvement mensuel pour flexion-compression à adresser au CSTB tous les 6 mois et contrôle du retrait suivant spécificités de la chape.</w:t>
      </w:r>
    </w:p>
    <w:p>
      <w:pPr>
        <w:pPr/>
        <w:numPr>
          <w:ilvl w:val="0"/>
          <w:numId w:val="24"/>
        </w:numPr>
      </w:pPr>
      <w:r>
        <w:rPr/>
        <w:t xml:space="preserve">Pour les chapes fabriquées en usine :prélèvement mensuel pour flexion-compression et contrôle du retrait suivant spécificités de la chape.</w:t>
      </w:r>
    </w:p>
    <w:p>
      <w:pPr>
        <w:pPr/>
        <w:numPr>
          <w:ilvl w:val="0"/>
          <w:numId w:val="24"/>
        </w:numPr>
      </w:pPr>
      <w:r>
        <w:rPr/>
        <w:t xml:space="preserve">Visite d’une centrale de fabrication, du laboratoire d’essais de suivi.</w:t>
      </w:r>
    </w:p>
    <w:p>
      <w:pPr>
        <w:ind w:left="1440" w:right="0"/>
      </w:pPr>
      <w:r>
        <w:rPr>
          <w:rStyle w:val="font_h3"/>
        </w:rPr>
        <w:t xml:space="preserve">10.3.2. Equivalence avec la certification QB46</w:t>
      </w:r>
    </w:p>
    <w:p>
      <w:pPr>
        <w:ind w:left="1440" w:right="0"/>
      </w:pPr>
      <w:r>
        <w:rPr>
          <w:rStyle w:val="font_h3"/>
        </w:rPr>
        <w:t xml:space="preserve">10.3.3. suivi de fabrication des additifs</w:t>
      </w:r>
    </w:p>
    <w:p>
      <w:pPr/>
      <w:r>
        <w:rPr>
          <w:rStyle w:val="font_h1"/>
        </w:rPr>
        <w:t xml:space="preserve">11. Mention des justificatifs</w:t>
      </w:r>
    </w:p>
    <w:p>
      <w:pPr/>
      <w:r>
        <w:rPr>
          <w:rStyle w:val="font_h1"/>
        </w:rPr>
        <w:t xml:space="preserve">12. Références chantier</w:t>
      </w:r>
    </w:p>
    <w:p>
      <w:pPr>
        <w:ind w:left="720" w:right="0"/>
      </w:pPr>
      <w:r>
        <w:rPr>
          <w:rStyle w:val="font_h2"/>
        </w:rPr>
        <w:t xml:space="preserve">12.1. Généralités</w:t>
      </w:r>
    </w:p>
    <w:p>
      <w:pPr/>
      <w:r>
        <w:rPr/>
        <w:t xml:space="preserve">Validé par le Groupe Spécialisé le 02/10/2018</w:t>
      </w:r>
    </w:p>
    <w:p>
      <w:pPr/>
      <w:r>
        <w:rPr>
          <w:b/>
          <w:bCs/>
        </w:rPr>
        <w:t xml:space="preserve">Description</w:t>
      </w:r>
    </w:p>
    <w:p>
      <w:pPr>
        <w:pPr/>
        <w:numPr>
          <w:ilvl w:val="0"/>
          <w:numId w:val="25"/>
        </w:numPr>
      </w:pPr>
      <w:r>
        <w:rPr/>
        <w:t xml:space="preserve">Préciser la surface de chape appliquée en France et depuis quand.</w:t>
      </w:r>
    </w:p>
    <w:p>
      <w:pPr>
        <w:pPr/>
        <w:numPr>
          <w:ilvl w:val="0"/>
          <w:numId w:val="25"/>
        </w:numPr>
      </w:pPr>
      <w:r>
        <w:rPr/>
        <w:t xml:space="preserve">Préciser si le procédé dispose d'une Déclaration Environnementale (DE)</w:t>
      </w:r>
    </w:p>
    <w:p>
      <w:pPr/>
      <w:r>
        <w:rPr>
          <w:b/>
          <w:bCs/>
        </w:rPr>
        <w:t xml:space="preserve">Justification</w:t>
      </w:r>
    </w:p>
    <w:p>
      <w:pPr/>
      <w:r>
        <w:rPr/>
        <w:t xml:space="preserve">1.Liste de références de chantiers détaillée, les éléments ci-après sont habituellement demandés sous forme de tableau récapitulatif(10 chantiers représentatifs ou 5000 m²) :</w:t>
      </w:r>
    </w:p>
    <w:p>
      <w:pPr>
        <w:pPr/>
        <w:numPr>
          <w:ilvl w:val="0"/>
          <w:numId w:val="26"/>
        </w:numPr>
      </w:pPr>
      <w:r>
        <w:rPr/>
        <w:t xml:space="preserve">L’adresse du chantier,</w:t>
      </w:r>
    </w:p>
    <w:p>
      <w:pPr>
        <w:pPr/>
        <w:numPr>
          <w:ilvl w:val="0"/>
          <w:numId w:val="26"/>
        </w:numPr>
      </w:pPr>
      <w:r>
        <w:rPr/>
        <w:t xml:space="preserve">La date de mise en œuvre,</w:t>
      </w:r>
    </w:p>
    <w:p>
      <w:pPr>
        <w:pPr/>
        <w:numPr>
          <w:ilvl w:val="0"/>
          <w:numId w:val="26"/>
        </w:numPr>
      </w:pPr>
      <w:r>
        <w:rPr/>
        <w:t xml:space="preserve">Les noms, adresses et e-mail du maître d’œuvre, maître d’ouvrage, architecte,</w:t>
      </w:r>
    </w:p>
    <w:p>
      <w:pPr>
        <w:pPr/>
        <w:numPr>
          <w:ilvl w:val="0"/>
          <w:numId w:val="26"/>
        </w:numPr>
      </w:pPr>
      <w:r>
        <w:rPr/>
        <w:t xml:space="preserve">La nature du support,</w:t>
      </w:r>
    </w:p>
    <w:p>
      <w:pPr>
        <w:pPr/>
        <w:numPr>
          <w:ilvl w:val="0"/>
          <w:numId w:val="26"/>
        </w:numPr>
      </w:pPr>
      <w:r>
        <w:rPr/>
        <w:t xml:space="preserve">Existence de plancher chauffant,</w:t>
      </w:r>
    </w:p>
    <w:p>
      <w:pPr>
        <w:pPr/>
        <w:numPr>
          <w:ilvl w:val="0"/>
          <w:numId w:val="26"/>
        </w:numPr>
      </w:pPr>
      <w:r>
        <w:rPr/>
        <w:t xml:space="preserve">Épaisseurs d’application,</w:t>
      </w:r>
    </w:p>
    <w:p>
      <w:pPr>
        <w:pPr/>
        <w:numPr>
          <w:ilvl w:val="0"/>
          <w:numId w:val="26"/>
        </w:numPr>
      </w:pPr>
      <w:r>
        <w:rPr/>
        <w:t xml:space="preserve">Fractionnement effectué,</w:t>
      </w:r>
    </w:p>
    <w:p>
      <w:pPr>
        <w:pPr/>
        <w:numPr>
          <w:ilvl w:val="0"/>
          <w:numId w:val="26"/>
        </w:numPr>
      </w:pPr>
      <w:r>
        <w:rPr/>
        <w:t xml:space="preserve">Ponçage ou non ponçage de la chape.</w:t>
      </w:r>
    </w:p>
    <w:p>
      <w:pPr/>
      <w:r>
        <w:rPr/>
        <w:t xml:space="preserve">2.Aptitude à l'emploi du procédé:</w:t>
      </w:r>
    </w:p>
    <w:p>
      <w:pPr>
        <w:pPr/>
        <w:numPr>
          <w:ilvl w:val="0"/>
          <w:numId w:val="27"/>
        </w:numPr>
      </w:pPr>
      <w:r>
        <w:rPr/>
        <w:t xml:space="preserve">Visite de chantier et visite d'une fabrication,</w:t>
      </w:r>
    </w:p>
    <w:p>
      <w:pPr>
        <w:ind w:left="720" w:right="0"/>
      </w:pPr>
      <w:r>
        <w:rPr>
          <w:rStyle w:val="font_h2"/>
        </w:rPr>
        <w:t xml:space="preserve">12.2. Exigences concernant les références chantier</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5291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08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E4C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2CD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9FF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233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EBD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6E1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0A3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6F6B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A9A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FB5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069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ADF5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B3F1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F57D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572A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CD6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308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2026-07-28T23:38:57+02:00</dcterms:created>
  <dcterms:modified xsi:type="dcterms:W3CDTF">2026-07-28T23:38:57+02:00</dcterms:modified>
</cp:coreProperties>
</file>

<file path=docProps/custom.xml><?xml version="1.0" encoding="utf-8"?>
<Properties xmlns="http://schemas.openxmlformats.org/officeDocument/2006/custom-properties" xmlns:vt="http://schemas.openxmlformats.org/officeDocument/2006/docPropsVTypes"/>
</file>