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tuiles canal de terre cuite</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15/07/2020</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r>
        <w:rPr>
          <w:i/>
          <w:iCs/>
        </w:rPr>
        <w:t xml:space="preserve">JURISPRUDENCE (générale tuiles de terre cuite) : Si sont revendiquées des pentes inférieures aux pentes minimales actuellement acceptées par famille de procédés, ces dernières devront être justifiées par des arguments circonstanciés relatifs au maintien de l’étanchéité à  l’eau de la couverture dans le temps tant en partie courante qu’au niveau des points singuliers, en tenant compte notamment des tolérances de fabrication des tuiles, des conditions de ventilation de la couverture du fait de la pente abaissée, des limitations renforcées probables de flèches et des conséquences dues au fluage des liteaux et de la charpente, etc...</w:t>
      </w:r>
    </w:p>
    <w:p>
      <w:pPr>
        <w:ind w:left="720" w:right="0"/>
      </w:pPr>
      <w:r>
        <w:rPr>
          <w:rStyle w:val="font_h2"/>
        </w:rPr>
        <w:t xml:space="preserve">1.2. Description</w:t>
      </w:r>
    </w:p>
    <w:p>
      <w:pPr/>
      <w:r>
        <w:rPr/>
        <w:t xml:space="preserve">Validé par le Groupe Spécialisé le 11/12/2017</w:t>
      </w:r>
    </w:p>
    <w:p>
      <w:pPr/>
      <w:r>
        <w:rPr>
          <w:b/>
          <w:bCs/>
        </w:rPr>
        <w:t xml:space="preserve">Description</w:t>
      </w:r>
    </w:p>
    <w:p>
      <w:pPr/>
      <w:r>
        <w:rPr/>
        <w:t xml:space="preserve">Préciser:</w:t>
      </w:r>
    </w:p>
    <w:p>
      <w:pPr>
        <w:pPr/>
        <w:numPr>
          <w:ilvl w:val="0"/>
          <w:numId w:val="9"/>
        </w:numPr>
      </w:pPr>
      <w:r>
        <w:rPr/>
        <w:t xml:space="preserve">le type de tuile, </w:t>
      </w:r>
    </w:p>
    <w:p>
      <w:pPr>
        <w:pPr/>
        <w:numPr>
          <w:ilvl w:val="0"/>
          <w:numId w:val="9"/>
        </w:numPr>
      </w:pPr>
      <w:r>
        <w:rPr/>
        <w:t xml:space="preserve">son emboîtement ou format spécifique,</w:t>
      </w:r>
    </w:p>
    <w:p>
      <w:pPr>
        <w:pPr/>
        <w:numPr>
          <w:ilvl w:val="0"/>
          <w:numId w:val="9"/>
        </w:numPr>
      </w:pPr>
      <w:r>
        <w:rPr/>
        <w:t xml:space="preserve">les dispositions pour confirmer la non traditionnalité de la tuile ou de sa mise en œuvre,</w:t>
      </w:r>
    </w:p>
    <w:p>
      <w:pPr>
        <w:pPr/>
        <w:numPr>
          <w:ilvl w:val="0"/>
          <w:numId w:val="9"/>
        </w:numPr>
      </w:pPr>
      <w:r>
        <w:rPr/>
        <w:t xml:space="preserve">sa destination,</w:t>
      </w:r>
    </w:p>
    <w:p>
      <w:pPr>
        <w:pPr/>
        <w:numPr>
          <w:ilvl w:val="0"/>
          <w:numId w:val="9"/>
        </w:numPr>
      </w:pPr>
      <w:r>
        <w:rPr/>
        <w:t xml:space="preserve">la référence aux règles de conception et de mise en œuvre de la série 40.22 selon le type de tuile , et le NF DTU 40.29 le cas échéant.</w:t>
      </w:r>
    </w:p>
    <w:p>
      <w:pPr/>
      <w:r>
        <w:rPr>
          <w:b/>
          <w:bCs/>
        </w:rPr>
        <w:t xml:space="preserve">Justification</w:t>
      </w:r>
    </w:p>
    <w:p>
      <w:pPr/>
      <w:r>
        <w:rPr/>
        <w:t xml:space="preserve">Fournir la fiche technique de la tuile, la DOP et une étiquette de marquage CE.</w:t>
      </w:r>
    </w:p>
    <w:p>
      <w:pPr/>
      <w:r>
        <w:rPr>
          <w:rStyle w:val="font_h1"/>
        </w:rPr>
        <w:t xml:space="preserve">2. Domaine d'emploi</w:t>
      </w:r>
    </w:p>
    <w:p>
      <w:pPr/>
      <w:r>
        <w:rPr/>
        <w:t xml:space="preserve">Validé par le Groupe Spécialisé le 23/03/2020</w:t>
      </w:r>
    </w:p>
    <w:p>
      <w:pPr/>
      <w:r>
        <w:rPr>
          <w:b/>
          <w:bCs/>
        </w:rPr>
        <w:t xml:space="preserve">Description</w:t>
      </w:r>
    </w:p>
    <w:p>
      <w:pPr/>
      <w:r>
        <w:rPr/>
        <w:t xml:space="preserve">Décrire le domaine d'emploi revendiqué, en fonction de l'expérience reconnue et réussie.</w:t>
      </w:r>
    </w:p>
    <w:p>
      <w:pPr/>
      <w:r>
        <w:rPr/>
        <w:t xml:space="preserve">La liste des références de chantiers doit indiquer:</w:t>
      </w:r>
    </w:p>
    <w:p>
      <w:pPr>
        <w:pPr/>
        <w:numPr>
          <w:ilvl w:val="0"/>
          <w:numId w:val="10"/>
        </w:numPr>
      </w:pPr>
      <w:r>
        <w:rPr/>
        <w:t xml:space="preserve">la référence de la tuile,</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 (les références doivent comporter, entre autres, les pentes minimales revendiquées dans le dossier),</w:t>
      </w:r>
    </w:p>
    <w:p>
      <w:pPr>
        <w:pPr/>
        <w:numPr>
          <w:ilvl w:val="0"/>
          <w:numId w:val="10"/>
        </w:numPr>
      </w:pPr>
      <w:r>
        <w:rPr/>
        <w:t xml:space="preserve">la longueur de rampant,</w:t>
      </w:r>
    </w:p>
    <w:p>
      <w:pPr>
        <w:pPr/>
        <w:numPr>
          <w:ilvl w:val="0"/>
          <w:numId w:val="10"/>
        </w:numPr>
      </w:pPr>
      <w:r>
        <w:rPr/>
        <w:t xml:space="preserve">la zone de concomitance vent-pluie selon le DTU concerné,</w:t>
      </w:r>
    </w:p>
    <w:p>
      <w:pPr>
        <w:pPr/>
        <w:numPr>
          <w:ilvl w:val="0"/>
          <w:numId w:val="10"/>
        </w:numPr>
      </w:pPr>
      <w:r>
        <w:rPr/>
        <w:t xml:space="preserve">la situation selon le DTU concerné,</w:t>
      </w:r>
    </w:p>
    <w:p>
      <w:pPr>
        <w:pPr/>
        <w:numPr>
          <w:ilvl w:val="0"/>
          <w:numId w:val="10"/>
        </w:numPr>
      </w:pPr>
      <w:r>
        <w:rPr/>
        <w:t xml:space="preserve">l'altitude,</w:t>
      </w:r>
    </w:p>
    <w:p>
      <w:pPr>
        <w:pPr/>
        <w:numPr>
          <w:ilvl w:val="0"/>
          <w:numId w:val="10"/>
        </w:numPr>
      </w:pPr>
      <w:r>
        <w:rPr/>
        <w:t xml:space="preserve">le bord de mer le cas échéant,</w:t>
      </w:r>
    </w:p>
    <w:p>
      <w:pPr>
        <w:pPr/>
        <w:numPr>
          <w:ilvl w:val="0"/>
          <w:numId w:val="10"/>
        </w:numPr>
      </w:pPr>
      <w:r>
        <w:rPr/>
        <w:t xml:space="preserve">la présence ou non d'un écran de sous-toiture ( l'écran n'est pas une étanchéité complémentaire),</w:t>
      </w:r>
    </w:p>
    <w:p>
      <w:pPr>
        <w:pPr/>
        <w:numPr>
          <w:ilvl w:val="0"/>
          <w:numId w:val="10"/>
        </w:numPr>
      </w:pPr>
      <w:r>
        <w:rPr/>
        <w:t xml:space="preserve">la nature et la densité des fixations des tuiles en partie courante et en rives/égouts.</w:t>
      </w:r>
    </w:p>
    <w:p>
      <w:pPr/>
      <w:r>
        <w:rPr>
          <w:b/>
          <w:bCs/>
        </w:rPr>
        <w:t xml:space="preserve">Justification</w:t>
      </w:r>
    </w:p>
    <w:p>
      <w:pPr/>
      <w:r>
        <w:rPr/>
        <w:t xml:space="preserve">Liste de références complétée.</w:t>
      </w:r>
    </w:p>
    <w:p>
      <w:pPr/>
      <w:r>
        <w:rPr>
          <w:rStyle w:val="font_h1"/>
        </w:rPr>
        <w:t xml:space="preserve">3. Matériaux</w:t>
      </w:r>
    </w:p>
    <w:p>
      <w:pPr>
        <w:ind w:left="720" w:right="0"/>
      </w:pPr>
      <w:r>
        <w:rPr>
          <w:rStyle w:val="font_h2"/>
        </w:rPr>
        <w:t xml:space="preserve">3.1. Désignation commerciale</w:t>
      </w:r>
    </w:p>
    <w:p>
      <w:pPr/>
      <w:r>
        <w:rPr/>
        <w:t xml:space="preserve">Validé par le Groupe Spécialisé le 11/12/2017</w:t>
      </w:r>
    </w:p>
    <w:p>
      <w:pPr/>
      <w:r>
        <w:rPr>
          <w:b/>
          <w:bCs/>
        </w:rPr>
        <w:t xml:space="preserve">Description</w:t>
      </w:r>
    </w:p>
    <w:p>
      <w:pPr/>
      <w:r>
        <w:rPr/>
        <w:t xml:space="preserve">Préciser la dénomination commerciale de la tuile.</w:t>
      </w:r>
    </w:p>
    <w:p>
      <w:pPr>
        <w:ind w:left="720" w:right="0"/>
      </w:pPr>
      <w:r>
        <w:rPr>
          <w:rStyle w:val="font_h2"/>
        </w:rPr>
        <w:t xml:space="preserve">3.2. Tuiles courantes</w:t>
      </w:r>
    </w:p>
    <w:p>
      <w:pPr>
        <w:ind w:left="1440" w:right="0"/>
      </w:pPr>
      <w:r>
        <w:rPr>
          <w:rStyle w:val="font_h3"/>
        </w:rPr>
        <w:t xml:space="preserve">3.2.1. Caractéristiques générales</w:t>
      </w:r>
    </w:p>
    <w:p>
      <w:pPr/>
      <w:r>
        <w:rPr/>
        <w:t xml:space="preserve">Validé par le Groupe Spécialisé le 23/03/2020</w:t>
      </w:r>
    </w:p>
    <w:p>
      <w:pPr/>
      <w:r>
        <w:rPr>
          <w:b/>
          <w:bCs/>
        </w:rPr>
        <w:t xml:space="preserve">Description</w:t>
      </w:r>
    </w:p>
    <w:p>
      <w:pPr>
        <w:pPr/>
        <w:numPr>
          <w:ilvl w:val="0"/>
          <w:numId w:val="11"/>
        </w:numPr>
      </w:pPr>
      <w:r>
        <w:rPr/>
        <w:t xml:space="preserve">décrire la tuile de courant et la tuile de couvert,</w:t>
      </w:r>
    </w:p>
    <w:p>
      <w:pPr>
        <w:pPr/>
        <w:numPr>
          <w:ilvl w:val="0"/>
          <w:numId w:val="11"/>
        </w:numPr>
      </w:pPr>
      <w:r>
        <w:rPr/>
        <w:t xml:space="preserve">renvoyer à la norme de marquage CE du produit,</w:t>
      </w:r>
    </w:p>
    <w:p>
      <w:pPr>
        <w:pPr/>
        <w:numPr>
          <w:ilvl w:val="0"/>
          <w:numId w:val="11"/>
        </w:numPr>
      </w:pPr>
      <w:r>
        <w:rPr/>
        <w:t xml:space="preserve">indiquer si les tuiles bénéficient de la marque NF,</w:t>
      </w:r>
    </w:p>
    <w:p>
      <w:pPr>
        <w:pPr/>
        <w:numPr>
          <w:ilvl w:val="0"/>
          <w:numId w:val="11"/>
        </w:numPr>
      </w:pPr>
      <w:r>
        <w:rPr/>
        <w:t xml:space="preserve">préciser les dimensions,</w:t>
      </w:r>
    </w:p>
    <w:p>
      <w:pPr>
        <w:pPr/>
        <w:numPr>
          <w:ilvl w:val="0"/>
          <w:numId w:val="11"/>
        </w:numPr>
      </w:pPr>
      <w:r>
        <w:rPr/>
        <w:t xml:space="preserve">préciser les modes d'accrochage, crantage et blocage,</w:t>
      </w:r>
    </w:p>
    <w:p>
      <w:pPr>
        <w:pPr/>
        <w:numPr>
          <w:ilvl w:val="0"/>
          <w:numId w:val="11"/>
        </w:numPr>
      </w:pPr>
      <w:r>
        <w:rPr/>
        <w:t xml:space="preserve">préciser les pureaux de pose,</w:t>
      </w:r>
    </w:p>
    <w:p>
      <w:pPr>
        <w:pPr/>
        <w:numPr>
          <w:ilvl w:val="0"/>
          <w:numId w:val="11"/>
        </w:numPr>
      </w:pPr>
      <w:r>
        <w:rPr/>
        <w:t xml:space="preserve">indiquer les longueurs de recouvrement mini/maxi et/ou emboîtement,</w:t>
      </w:r>
    </w:p>
    <w:p>
      <w:pPr>
        <w:pPr/>
        <w:numPr>
          <w:ilvl w:val="0"/>
          <w:numId w:val="11"/>
        </w:numPr>
      </w:pPr>
      <w:r>
        <w:rPr/>
        <w:t xml:space="preserve">préciser le poids unitaire,</w:t>
      </w:r>
    </w:p>
    <w:p>
      <w:pPr>
        <w:pPr/>
        <w:numPr>
          <w:ilvl w:val="0"/>
          <w:numId w:val="11"/>
        </w:numPr>
      </w:pPr>
      <w:r>
        <w:rPr/>
        <w:t xml:space="preserve">préciser le nombre de tuiles par m²</w:t>
      </w:r>
    </w:p>
    <w:p>
      <w:pPr>
        <w:pPr/>
        <w:numPr>
          <w:ilvl w:val="0"/>
          <w:numId w:val="11"/>
        </w:numPr>
      </w:pPr>
      <w:r>
        <w:rPr/>
        <w:t xml:space="preserve">préciser si la tuile est siliconée,</w:t>
      </w:r>
    </w:p>
    <w:p>
      <w:pPr>
        <w:pPr/>
        <w:numPr>
          <w:ilvl w:val="0"/>
          <w:numId w:val="11"/>
        </w:numPr>
      </w:pPr>
      <w:r>
        <w:rPr/>
        <w:t xml:space="preserve">préciser les teintes,</w:t>
      </w:r>
    </w:p>
    <w:p>
      <w:pPr>
        <w:pPr/>
        <w:numPr>
          <w:ilvl w:val="0"/>
          <w:numId w:val="11"/>
        </w:numPr>
      </w:pPr>
      <w:r>
        <w:rPr/>
        <w:t xml:space="preserve">renvoyer aux coupes données dans le dossier graphique ( coupe longitudinale, coupe transversale, vue en perspective, vue de l'intrados, vue de l'extrados).</w:t>
      </w:r>
    </w:p>
    <w:p>
      <w:pPr/>
      <w:r>
        <w:rPr>
          <w:b/>
          <w:bCs/>
        </w:rPr>
        <w:t xml:space="preserve">Justification</w:t>
      </w:r>
    </w:p>
    <w:p>
      <w:pPr/>
      <w:r>
        <w:rPr/>
        <w:t xml:space="preserve">Fournir la DOP de la tuile, la fiche technique et la certification le cas échéant.</w:t>
      </w:r>
    </w:p>
    <w:p>
      <w:pPr/>
      <w:r>
        <w:rPr>
          <w:b/>
          <w:bCs/>
        </w:rPr>
        <w:t xml:space="preserve">Illustration</w:t>
      </w:r>
    </w:p>
    <w:p>
      <w:pPr/>
      <w:r>
        <w:rPr/>
        <w:t xml:space="preserve">Figures cotées suivantes:</w:t>
      </w:r>
    </w:p>
    <w:p>
      <w:pPr>
        <w:pPr/>
        <w:numPr>
          <w:ilvl w:val="0"/>
          <w:numId w:val="12"/>
        </w:numPr>
      </w:pPr>
      <w:r>
        <w:rPr/>
        <w:t xml:space="preserve">coupe longitudinale, </w:t>
      </w:r>
    </w:p>
    <w:p>
      <w:pPr>
        <w:pPr/>
        <w:numPr>
          <w:ilvl w:val="0"/>
          <w:numId w:val="12"/>
        </w:numPr>
      </w:pPr>
      <w:r>
        <w:rPr/>
        <w:t xml:space="preserve">coupe transversale, </w:t>
      </w:r>
    </w:p>
    <w:p>
      <w:pPr>
        <w:pPr/>
        <w:numPr>
          <w:ilvl w:val="0"/>
          <w:numId w:val="12"/>
        </w:numPr>
      </w:pPr>
      <w:r>
        <w:rPr/>
        <w:t xml:space="preserve">vue en perspective, </w:t>
      </w:r>
    </w:p>
    <w:p>
      <w:pPr>
        <w:pPr/>
        <w:numPr>
          <w:ilvl w:val="0"/>
          <w:numId w:val="12"/>
        </w:numPr>
      </w:pPr>
      <w:r>
        <w:rPr/>
        <w:t xml:space="preserve">vue de l'intrados, </w:t>
      </w:r>
    </w:p>
    <w:p>
      <w:pPr>
        <w:pPr/>
        <w:numPr>
          <w:ilvl w:val="0"/>
          <w:numId w:val="12"/>
        </w:numPr>
      </w:pPr>
      <w:r>
        <w:rPr/>
        <w:t xml:space="preserve">vue de l'extrados.</w:t>
      </w:r>
    </w:p>
    <w:p>
      <w:pPr>
        <w:ind w:left="1440" w:right="0"/>
      </w:pPr>
      <w:r>
        <w:rPr>
          <w:rStyle w:val="font_h3"/>
        </w:rPr>
        <w:t xml:space="preserve">3.2.2. Caractéristiques Spécifiques</w:t>
      </w:r>
    </w:p>
    <w:p>
      <w:pPr/>
      <w:r>
        <w:rPr/>
        <w:t xml:space="preserve">Validé par le Groupe Spécialisé le 11/12/2017</w:t>
      </w:r>
    </w:p>
    <w:p>
      <w:pPr/>
      <w:r>
        <w:rPr>
          <w:b/>
          <w:bCs/>
        </w:rPr>
        <w:t xml:space="preserve">Description</w:t>
      </w:r>
    </w:p>
    <w:p>
      <w:pPr/>
      <w:r>
        <w:rPr/>
        <w:t xml:space="preserve">Renvoyer à la norme de marquage CE et à la certification le cas échéant. Les caractéristiques de la tuile (aspect, coefficient de planéité, rectitude, longueur, largeur, pureau/recouvrement, résistance au gel, imperméabilité, résistance à la rupture par flexion...) sont indiqués avec les tolérances et les normes de référence dans un tableau récapitulatif en fin de dossier technique.</w:t>
      </w:r>
    </w:p>
    <w:p>
      <w:pPr/>
      <w:r>
        <w:rPr>
          <w:b/>
          <w:bCs/>
        </w:rPr>
        <w:t xml:space="preserve">Justification</w:t>
      </w:r>
    </w:p>
    <w:p>
      <w:pPr/>
      <w:r>
        <w:rPr/>
        <w:t xml:space="preserve">Fournir le rapport d'essais de caractérisation de l'étanchéité à l'eau en soufflerie climatique; habituellement MOBY DICK II.</w:t>
      </w:r>
    </w:p>
    <w:p>
      <w:pPr>
        <w:ind w:left="720" w:right="0"/>
      </w:pPr>
      <w:r>
        <w:rPr>
          <w:rStyle w:val="font_h2"/>
        </w:rPr>
        <w:t xml:space="preserve">3.3. Accessoires</w:t>
      </w:r>
    </w:p>
    <w:p>
      <w:pPr/>
      <w:r>
        <w:rPr/>
        <w:t xml:space="preserve">Validé par le Groupe Spécialisé le 11/12/2017</w:t>
      </w:r>
    </w:p>
    <w:p>
      <w:pPr/>
      <w:r>
        <w:rPr>
          <w:b/>
          <w:bCs/>
        </w:rPr>
        <w:t xml:space="preserve">Description</w:t>
      </w:r>
    </w:p>
    <w:p>
      <w:pPr/>
      <w:r>
        <w:rPr/>
        <w:t xml:space="preserve">Préciser les accessoires associés à la tuile et leurs caractéristiques. Le cas échéant, indiquer si ils bénéficient de la marque NF. Compléter éventuellement le dossier graphique avec une représentation des accessoires.</w:t>
      </w:r>
    </w:p>
    <w:p>
      <w:pPr/>
      <w:r>
        <w:rPr>
          <w:b/>
          <w:bCs/>
        </w:rPr>
        <w:t xml:space="preserve">Illustration</w:t>
      </w:r>
    </w:p>
    <w:p>
      <w:pPr/>
      <w:r>
        <w:rPr/>
        <w:t xml:space="preserve">Coupe ou vue cotée des accessoires.</w:t>
      </w:r>
    </w:p>
    <w:p>
      <w:pPr>
        <w:ind w:left="720" w:right="0"/>
      </w:pPr>
      <w:r>
        <w:rPr>
          <w:rStyle w:val="font_h2"/>
        </w:rPr>
        <w:t xml:space="preserve">3.4. Mortier</w:t>
      </w:r>
    </w:p>
    <w:p>
      <w:pPr/>
      <w:r>
        <w:rPr/>
        <w:t xml:space="preserve">Validé par le Groupe Spécialisé le 11/12/2017</w:t>
      </w:r>
    </w:p>
    <w:p>
      <w:pPr/>
      <w:r>
        <w:rPr>
          <w:b/>
          <w:bCs/>
        </w:rPr>
        <w:t xml:space="preserve">Description</w:t>
      </w:r>
    </w:p>
    <w:p>
      <w:pPr/>
      <w:r>
        <w:rPr/>
        <w:t xml:space="preserve">Les mortiers utilisés pour le traitement des points singuliers de couverture sont des mortiers de chaux ou des mortiers bâtards tels que définis dans le DTU 40.22.Pour les tuiles siliconées, les ouvrages particuliers de couverture traités par scellement nécessitent d'avoir recours à un mortier adjuvanté. Le fabricant de mortier doit préciser, aux entreprises qui en font la demande, la liste des adjuvants adaptés, à incorporer dans le mortier.</w:t>
      </w:r>
    </w:p>
    <w:p>
      <w:pPr/>
      <w:r>
        <w:rPr>
          <w:rStyle w:val="font_h1"/>
        </w:rPr>
        <w:t xml:space="preserve">4. Fabrication et contrôles</w:t>
      </w:r>
    </w:p>
    <w:p>
      <w:pPr>
        <w:ind w:left="720" w:right="0"/>
      </w:pPr>
      <w:r>
        <w:rPr>
          <w:rStyle w:val="font_h2"/>
        </w:rPr>
        <w:t xml:space="preserve">4.1. Fabrication</w:t>
      </w:r>
    </w:p>
    <w:p>
      <w:pPr/>
      <w:r>
        <w:rPr/>
        <w:t xml:space="preserve">Validé par le Groupe Spécialisé le 11/12/2017</w:t>
      </w:r>
    </w:p>
    <w:p>
      <w:pPr/>
      <w:r>
        <w:rPr>
          <w:b/>
          <w:bCs/>
        </w:rPr>
        <w:t xml:space="preserve">Description</w:t>
      </w:r>
    </w:p>
    <w:p>
      <w:pPr/>
      <w:r>
        <w:rPr/>
        <w:t xml:space="preserve">Décrire succinctement la fabrication. Préciser les lieux de production.</w:t>
      </w:r>
    </w:p>
    <w:p>
      <w:pPr>
        <w:ind w:left="720" w:right="0"/>
      </w:pPr>
      <w:r>
        <w:rPr>
          <w:rStyle w:val="font_h2"/>
        </w:rPr>
        <w:t xml:space="preserve">4.2. Contrôles</w:t>
      </w:r>
    </w:p>
    <w:p>
      <w:pPr/>
      <w:r>
        <w:rPr/>
        <w:t xml:space="preserve">Validé par le Groupe Spécialisé le 11/12/2017</w:t>
      </w:r>
    </w:p>
    <w:p>
      <w:pPr/>
      <w:r>
        <w:rPr>
          <w:b/>
          <w:bCs/>
        </w:rPr>
        <w:t xml:space="preserve">Description</w:t>
      </w:r>
    </w:p>
    <w:p>
      <w:pPr/>
      <w:r>
        <w:rPr/>
        <w:t xml:space="preserve">Préciser le système d'autocontrôle et de vérification de la fabrication des produits et des accessoires (ex: certification NF).</w:t>
      </w:r>
    </w:p>
    <w:p>
      <w:pPr>
        <w:ind w:left="720" w:right="0"/>
      </w:pPr>
      <w:r>
        <w:rPr>
          <w:rStyle w:val="font_h2"/>
        </w:rPr>
        <w:t xml:space="preserve">4.3. Marquages</w:t>
      </w:r>
    </w:p>
    <w:p>
      <w:pPr/>
      <w:r>
        <w:rPr/>
        <w:t xml:space="preserve">Validé par le Groupe Spécialisé le 11/12/2017</w:t>
      </w:r>
    </w:p>
    <w:p>
      <w:pPr/>
      <w:r>
        <w:rPr>
          <w:b/>
          <w:bCs/>
        </w:rPr>
        <w:t xml:space="preserve">Description</w:t>
      </w:r>
    </w:p>
    <w:p>
      <w:pPr/>
      <w:r>
        <w:rPr/>
        <w:t xml:space="preserve">Décrire le marquage.</w:t>
      </w:r>
    </w:p>
    <w:p>
      <w:pPr/>
      <w:r>
        <w:rPr>
          <w:b/>
          <w:bCs/>
        </w:rPr>
        <w:t xml:space="preserve">Illustration</w:t>
      </w:r>
    </w:p>
    <w:p>
      <w:pPr/>
      <w:r>
        <w:rPr/>
        <w:t xml:space="preserve">Ajouter une figure précisant les marquages.</w:t>
      </w:r>
    </w:p>
    <w:p>
      <w:pPr/>
      <w:r>
        <w:rPr>
          <w:rStyle w:val="font_h1"/>
        </w:rPr>
        <w:t xml:space="preserve">5. Mise en oeuvre</w:t>
      </w:r>
    </w:p>
    <w:p>
      <w:pPr>
        <w:ind w:left="720" w:right="0"/>
      </w:pPr>
      <w:r>
        <w:rPr>
          <w:rStyle w:val="font_h2"/>
        </w:rPr>
        <w:t xml:space="preserve">5.1.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5.2. Pentes</w:t>
      </w:r>
    </w:p>
    <w:p>
      <w:pPr/>
      <w:r>
        <w:rPr/>
        <w:t xml:space="preserve">Validé par le Groupe Spécialisé le 23/03/2020</w:t>
      </w:r>
    </w:p>
    <w:p>
      <w:pPr/>
      <w:r>
        <w:rPr>
          <w:b/>
          <w:bCs/>
        </w:rPr>
        <w:t xml:space="preserve">Description</w:t>
      </w:r>
    </w:p>
    <w:p>
      <w:pPr/>
      <w:r>
        <w:rPr/>
        <w:t xml:space="preserve">Le tableau des pentes doit être établi sur la base de l'expérience reconnue et réussie. Les pentes sont données sous forme de tableau. Distinguer, le cas échéant, les pentes admissibles avec ou sans écran de sous-toiture. Les pentes sont données en %, en fonction de la situation et de la zone. La pente indiquée dans le tableau doit avoir au moins 3 références significatives par site/situation ( protégé, normal, exposé), et par zone d'application (1,2 ou 3).</w:t>
      </w:r>
    </w:p>
    <w:p>
      <w:pPr/>
      <w:r>
        <w:rPr>
          <w:b/>
          <w:bCs/>
        </w:rPr>
        <w:t xml:space="preserve">Justification</w:t>
      </w:r>
    </w:p>
    <w:p>
      <w:pPr/>
      <w:r>
        <w:rPr/>
        <w:t xml:space="preserve">Fournir la liste de références de chantiers.Proposer les tableaux de pentes.</w:t>
      </w:r>
    </w:p>
    <w:p>
      <w:pPr>
        <w:ind w:left="720" w:right="0"/>
      </w:pPr>
      <w:r>
        <w:rPr>
          <w:rStyle w:val="font_h2"/>
        </w:rPr>
        <w:t xml:space="preserve">5.3. Traitement des points singuliers</w:t>
      </w:r>
    </w:p>
    <w:p>
      <w:pPr/>
      <w:r>
        <w:rPr/>
        <w:t xml:space="preserve">Validé par le Groupe Spécialisé le 11/12/2017</w:t>
      </w:r>
    </w:p>
    <w:p>
      <w:pPr/>
      <w:r>
        <w:rPr>
          <w:b/>
          <w:bCs/>
        </w:rPr>
        <w:t xml:space="preserve">Description</w:t>
      </w:r>
    </w:p>
    <w:p>
      <w:pPr/>
      <w:r>
        <w:rPr/>
        <w:t xml:space="preserve">décrire la mise en œuvre à l'égout, en rives, au faîtage, à l'arêtier, la noue et les pénétrations. Se référer au DTU 40.22.</w:t>
      </w:r>
    </w:p>
    <w:p>
      <w:pPr/>
      <w:r>
        <w:rPr>
          <w:rStyle w:val="font_h1"/>
        </w:rPr>
        <w:t xml:space="preserve">6. Fixations</w:t>
      </w:r>
    </w:p>
    <w:p>
      <w:pPr/>
      <w:r>
        <w:rPr/>
        <w:t xml:space="preserve">Validé par le Groupe Spécialisé le 11/12/2017</w:t>
      </w:r>
    </w:p>
    <w:p>
      <w:pPr/>
      <w:r>
        <w:rPr>
          <w:b/>
          <w:bCs/>
        </w:rPr>
        <w:t xml:space="preserve">Description</w:t>
      </w:r>
    </w:p>
    <w:p>
      <w:pPr/>
      <w:r>
        <w:rPr/>
        <w:t xml:space="preserve">Décrire le mode de fixation des tuiles ( trous de clouage, tenons ) et les accessoires de fixations( clous, vis, crochets). Donner la densité de fixations ou renvoyer au texte de référence le cas échéant. Dans le cas d'une fixation par collage, justifier la compatibilité du collage des produits et des supports visés.</w:t>
      </w:r>
    </w:p>
    <w:p>
      <w:pPr/>
      <w:r>
        <w:rPr>
          <w:rStyle w:val="font_h1"/>
        </w:rPr>
        <w:t xml:space="preserve">7. Ventilation</w:t>
      </w:r>
    </w:p>
    <w:p>
      <w:pPr/>
      <w:r>
        <w:rPr/>
        <w:t xml:space="preserve">Validé par le Groupe Spécialisé le 11/12/2017</w:t>
      </w:r>
    </w:p>
    <w:p>
      <w:pPr/>
      <w:r>
        <w:rPr>
          <w:b/>
          <w:bCs/>
        </w:rPr>
        <w:t xml:space="preserve">Description</w:t>
      </w:r>
    </w:p>
    <w:p>
      <w:pPr/>
      <w:r>
        <w:rPr/>
        <w:t xml:space="preserve">Préciser les modes de ventilation. Renvoyer au DTU 40.22. Dans le cas où un closoir est utilisé et qu'il bénéficie de la certification QB35, le préciser et préciser son classement.</w:t>
      </w:r>
    </w:p>
    <w:p>
      <w:pPr/>
      <w:r>
        <w:rPr>
          <w:rStyle w:val="font_h1"/>
        </w:rPr>
        <w:t xml:space="preserve">8. Ecrans de sous-toiture</w:t>
      </w:r>
    </w:p>
    <w:p>
      <w:pPr/>
      <w:r>
        <w:rPr/>
        <w:t xml:space="preserve">Validé par le Groupe Spécialisé le 11/12/2017</w:t>
      </w:r>
    </w:p>
    <w:p>
      <w:pPr/>
      <w:r>
        <w:rPr>
          <w:b/>
          <w:bCs/>
        </w:rPr>
        <w:t xml:space="preserve">Description</w:t>
      </w:r>
    </w:p>
    <w:p>
      <w:pPr/>
      <w:r>
        <w:rPr/>
        <w:t xml:space="preserve">Lorsqu'un écran de sous-toiture est utilisé, préciser que sa mise en œuvre doit être conforme au NF DTU 40.29. préciser si l'écran bénéficie de la certification QB25.</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E73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B4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A40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ADE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2026-09-23T20:31:24+02:00</dcterms:created>
  <dcterms:modified xsi:type="dcterms:W3CDTF">2026-09-23T20:31:24+02:00</dcterms:modified>
</cp:coreProperties>
</file>

<file path=docProps/custom.xml><?xml version="1.0" encoding="utf-8"?>
<Properties xmlns="http://schemas.openxmlformats.org/officeDocument/2006/custom-properties" xmlns:vt="http://schemas.openxmlformats.org/officeDocument/2006/docPropsVTypes"/>
</file>