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03/11/2025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Coffre de volet roulant et/ou de store vénitien extérieur</w:t>
      </w:r>
    </w:p>
    <w:p>
      <w:pPr/>
      <w:r>
        <w:rPr>
          <w:rStyle w:val="font_h1"/>
        </w:rPr>
        <w:t xml:space="preserve">1. Principe</w:t>
      </w:r>
    </w:p>
    <w:p>
      <w:pPr/>
      <w:r>
        <w:rPr/>
        <w:t xml:space="preserve">Validé par le Groupe Spécialisé le 14/02/2020</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intérieurs,ITE, ossature bois ...) ;</w:t>
      </w:r>
    </w:p>
    <w:p>
      <w:pPr>
        <w:pPr/>
        <w:numPr>
          <w:ilvl w:val="0"/>
          <w:numId w:val="9"/>
        </w:numPr>
      </w:pPr>
      <w:r>
        <w:rPr/>
        <w:t xml:space="preserve">position du coffre par rapport au gros oeuvre (applique intérieure, nu extérieur, mi mur ....).</w:t>
      </w:r>
    </w:p>
    <w:p>
      <w:pPr/>
      <w:r>
        <w:rPr/>
        <w:t xml:space="preserve">Définir les types de Coffres objet de la demande d’Avis Technique :</w:t>
      </w:r>
    </w:p>
    <w:p>
      <w:pPr>
        <w:pPr/>
        <w:numPr>
          <w:ilvl w:val="0"/>
          <w:numId w:val="10"/>
        </w:numPr>
      </w:pPr>
      <w:r>
        <w:rPr/>
        <w:t xml:space="preserve">type de manœuvre ;</w:t>
      </w:r>
    </w:p>
    <w:p>
      <w:pPr>
        <w:pPr/>
        <w:numPr>
          <w:ilvl w:val="0"/>
          <w:numId w:val="10"/>
        </w:numPr>
      </w:pPr>
      <w:r>
        <w:rPr/>
        <w:t xml:space="preserve">dimensions extérieures, position de l’axe, diamètre géométrique intérieur ;</w:t>
      </w:r>
    </w:p>
    <w:p>
      <w:pPr>
        <w:pPr/>
        <w:numPr>
          <w:ilvl w:val="0"/>
          <w:numId w:val="10"/>
        </w:numPr>
      </w:pPr>
      <w:r>
        <w:rPr/>
        <w:t xml:space="preserve">longueur maximale donnée pour un coffre associé à une traverse haute de menuiserie ayant une rigidité de 6000 N.m² (somme des E.I des différents profilés avec E : module d’Young du matériau et I : inertie du profilé).</w:t>
      </w:r>
    </w:p>
    <w:p>
      <w:pPr/>
      <w:r>
        <w:rPr/>
        <w:t xml:space="preserve">Préciser le(s) lieu(x) géographique(s) où est envisagée la pose des coffres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Gamme</w:t>
      </w:r>
    </w:p>
    <w:p>
      <w:pPr/>
      <w:r>
        <w:rPr>
          <w:rStyle w:val="font_h1"/>
        </w:rPr>
        <w:t xml:space="preserve">3. Matériaux</w:t>
      </w:r>
    </w:p>
    <w:p>
      <w:pPr>
        <w:ind w:left="720" w:right="0"/>
      </w:pPr>
      <w:r>
        <w:rPr>
          <w:rStyle w:val="font_h2"/>
        </w:rPr>
        <w:t xml:space="preserve">3.1. Profilés PVC</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 pour notamment :</w:t>
      </w:r>
    </w:p>
    <w:p>
      <w:pPr>
        <w:pPr/>
        <w:numPr>
          <w:ilvl w:val="0"/>
          <w:numId w:val="11"/>
        </w:numPr>
      </w:pPr>
      <w:r>
        <w:rPr/>
        <w:t xml:space="preserve">Profilés PVC (compositions vinyliques et extrudeurs) :</w:t>
      </w:r>
    </w:p>
    <w:p>
      <w:pPr>
        <w:pPr/>
        <w:numPr>
          <w:ilvl w:val="1"/>
          <w:numId w:val="11"/>
        </w:numPr>
      </w:pPr>
      <w:r>
        <w:rPr/>
        <w:t xml:space="preserve">Profilés de coffre ;</w:t>
      </w:r>
    </w:p>
    <w:p>
      <w:pPr>
        <w:pPr/>
        <w:numPr>
          <w:ilvl w:val="1"/>
          <w:numId w:val="11"/>
        </w:numPr>
      </w:pPr>
      <w:r>
        <w:rPr/>
        <w:t xml:space="preserve">Coulisses.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3.2. Profilés métalliques</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3.3. Film de plaxage</w:t>
      </w:r>
    </w:p>
    <w:p>
      <w:pPr>
        <w:ind w:left="720" w:right="0"/>
      </w:pPr>
      <w:r>
        <w:rPr>
          <w:rStyle w:val="font_h2"/>
        </w:rPr>
        <w:t xml:space="preserve">3.4. Profilés pour garniture d'étanchéité</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3.5. Isolation thermique et phonique</w:t>
      </w:r>
    </w:p>
    <w:p>
      <w:pPr>
        <w:ind w:left="720" w:right="0"/>
      </w:pPr>
      <w:r>
        <w:rPr>
          <w:rStyle w:val="font_h2"/>
        </w:rPr>
        <w:t xml:space="preserve">3.6. Accessoires et pièces complémentaires</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r>
        <w:rPr>
          <w:rStyle w:val="font_h1"/>
        </w:rPr>
        <w:t xml:space="preserve">4. Composition</w:t>
      </w:r>
    </w:p>
    <w:p>
      <w:pPr/>
      <w:r>
        <w:rPr>
          <w:rStyle w:val="font_h1"/>
        </w:rPr>
        <w:t xml:space="preserve">5. Eléments</w:t>
      </w:r>
    </w:p>
    <w:p>
      <w:pPr>
        <w:ind w:left="720" w:right="0"/>
      </w:pPr>
      <w:r>
        <w:rPr>
          <w:rStyle w:val="font_h2"/>
        </w:rPr>
        <w:t xml:space="preserve">5.1. Coffre de volet roulant</w:t>
      </w:r>
    </w:p>
    <w:p>
      <w:pPr>
        <w:ind w:left="720" w:right="0"/>
      </w:pPr>
      <w:r>
        <w:rPr>
          <w:rStyle w:val="font_h2"/>
        </w:rPr>
        <w:t xml:space="preserve">5.2. Coulisses</w:t>
      </w:r>
    </w:p>
    <w:p>
      <w:pPr>
        <w:ind w:left="720" w:right="0"/>
      </w:pPr>
      <w:r>
        <w:rPr>
          <w:rStyle w:val="font_h2"/>
        </w:rPr>
        <w:t xml:space="preserve">5.3. Liaison coffre fenêtre</w:t>
      </w:r>
    </w:p>
    <w:p>
      <w:pPr>
        <w:ind w:left="720" w:right="0"/>
      </w:pPr>
      <w:r>
        <w:rPr>
          <w:rStyle w:val="font_h2"/>
        </w:rPr>
        <w:t xml:space="preserve">5.4. Renforts</w:t>
      </w:r>
    </w:p>
    <w:p>
      <w:pPr>
        <w:ind w:left="720" w:right="0"/>
      </w:pPr>
      <w:r>
        <w:rPr>
          <w:rStyle w:val="font_h2"/>
        </w:rPr>
        <w:t xml:space="preserve">5.5. Dimensions maximales</w:t>
      </w:r>
    </w:p>
    <w:p>
      <w:pPr/>
      <w:r>
        <w:rPr/>
        <w:t xml:space="preserve">Validé par le Groupe Spécialisé le 14/02/2020</w:t>
      </w:r>
    </w:p>
    <w:p>
      <w:pPr/>
      <w:r>
        <w:rPr>
          <w:b/>
          <w:bCs/>
        </w:rPr>
        <w:t xml:space="preserve">Description</w:t>
      </w:r>
    </w:p>
    <w:p>
      <w:pPr/>
      <w:r>
        <w:rPr/>
        <w:t xml:space="preserve">Fournir les dimensions maximum prévues dans la demande en fonction des configurations.</w:t>
      </w:r>
    </w:p>
    <w:p>
      <w:pPr>
        <w:ind w:left="720" w:right="0"/>
      </w:pPr>
      <w:r>
        <w:rPr>
          <w:rStyle w:val="font_h2"/>
        </w:rPr>
        <w:t xml:space="preserve">5.6. Type de manoeuvre</w:t>
      </w:r>
    </w:p>
    <w:p>
      <w:pPr/>
      <w:r>
        <w:rPr>
          <w:rStyle w:val="font_h1"/>
        </w:rPr>
        <w:t xml:space="preserve">6. Fabrication et contrôles</w:t>
      </w:r>
    </w:p>
    <w:p>
      <w:pPr>
        <w:ind w:left="720" w:right="0"/>
      </w:pPr>
      <w:r>
        <w:rPr>
          <w:rStyle w:val="font_h2"/>
        </w:rPr>
        <w:t xml:space="preserve">6.1. Extrusion</w:t>
      </w:r>
    </w:p>
    <w:p>
      <w:pPr>
        <w:ind w:left="1440" w:right="0"/>
      </w:pPr>
      <w:r>
        <w:rPr>
          <w:rStyle w:val="font_h3"/>
        </w:rPr>
        <w:t xml:space="preserve">6.1.1. Contrôle de réception de la matière première</w:t>
      </w:r>
    </w:p>
    <w:p>
      <w:pPr>
        <w:ind w:left="1440" w:right="0"/>
      </w:pPr>
      <w:r>
        <w:rPr>
          <w:rStyle w:val="font_h3"/>
        </w:rPr>
        <w:t xml:space="preserve">6.1.2. Contrôles sur profilés PVC</w:t>
      </w:r>
    </w:p>
    <w:p>
      <w:pPr>
        <w:ind w:left="2160" w:right="0"/>
      </w:pPr>
      <w:r>
        <w:rPr>
          <w:rStyle w:val="font_h3"/>
        </w:rPr>
        <w:t xml:space="preserve">6.1.2.1. Profilés de coffres et coulisses</w:t>
      </w:r>
    </w:p>
    <w:p>
      <w:pPr/>
      <w:r>
        <w:rPr/>
        <w:t xml:space="preserve">Validé par le Groupe Spécialisé le 14/02/2020</w:t>
      </w:r>
    </w:p>
    <w:p>
      <w:pPr/>
      <w:r>
        <w:rPr>
          <w:b/>
          <w:bCs/>
        </w:rPr>
        <w:t xml:space="preserve">Description</w:t>
      </w:r>
    </w:p>
    <w:p>
      <w:pPr/>
      <w:r>
        <w:rPr/>
        <w:t xml:space="preserve">Fréquences minimales de contrôles sur les profilés PVC (autres que les coulisses formant fourrure d’épaisseur) :</w:t>
      </w:r>
    </w:p>
    <w:p>
      <w:pPr>
        <w:pPr/>
        <w:numPr>
          <w:ilvl w:val="0"/>
          <w:numId w:val="12"/>
        </w:numPr>
      </w:pPr>
      <w:r>
        <w:rPr/>
        <w:t xml:space="preserve">Retrait à 100°C : 1 fois par 48h par extrudeuse ;</w:t>
      </w:r>
    </w:p>
    <w:p>
      <w:pPr>
        <w:pPr/>
        <w:numPr>
          <w:ilvl w:val="0"/>
          <w:numId w:val="12"/>
        </w:numPr>
      </w:pPr>
      <w:r>
        <w:rPr/>
        <w:t xml:space="preserve">Chocs à froid 6J : 1 fois par semaine ;</w:t>
      </w:r>
    </w:p>
    <w:p>
      <w:pPr>
        <w:pPr/>
        <w:numPr>
          <w:ilvl w:val="0"/>
          <w:numId w:val="12"/>
        </w:numPr>
      </w:pPr>
      <w:r>
        <w:rPr/>
        <w:t xml:space="preserve">Aspect, poids, dimensions, colorimétrie : 1 fois par poste et par extrudeuse.</w:t>
      </w:r>
    </w:p>
    <w:p>
      <w:pPr>
        <w:ind w:left="2160" w:right="0"/>
      </w:pPr>
      <w:r>
        <w:rPr>
          <w:rStyle w:val="font_h3"/>
        </w:rPr>
        <w:t xml:space="preserve">6.1.2.2. Profilés de coulisses formant fourrure d'épaisseur</w:t>
      </w:r>
    </w:p>
    <w:p>
      <w:pPr/>
      <w:r>
        <w:rPr/>
        <w:t xml:space="preserve">Validé par le Groupe Spécialisé le 14/02/2020</w:t>
      </w:r>
    </w:p>
    <w:p>
      <w:pPr/>
      <w:r>
        <w:rPr>
          <w:b/>
          <w:bCs/>
        </w:rPr>
        <w:t xml:space="preserve">Description</w:t>
      </w:r>
    </w:p>
    <w:p>
      <w:pPr/>
      <w:r>
        <w:rPr/>
        <w:t xml:space="preserve">Fréquences de contrôles sur les coulisses formant fourrure en PVC : </w:t>
      </w:r>
      <w:r>
        <w:rPr>
          <w:i/>
          <w:iCs/>
        </w:rPr>
        <w:t xml:space="preserve">cf NF126</w:t>
      </w:r>
      <w:r>
        <w:rPr/>
        <w:t xml:space="preserve">.</w:t>
      </w:r>
    </w:p>
    <w:p>
      <w:pPr>
        <w:ind w:left="720" w:right="0"/>
      </w:pPr>
      <w:r>
        <w:rPr>
          <w:rStyle w:val="font_h2"/>
        </w:rPr>
        <w:t xml:space="preserve">6.2. Films</w:t>
      </w:r>
    </w:p>
    <w:p>
      <w:pPr>
        <w:ind w:left="720" w:right="0"/>
      </w:pPr>
      <w:r>
        <w:rPr>
          <w:rStyle w:val="font_h2"/>
        </w:rPr>
        <w:t xml:space="preserve">6.3. Profilés filmés</w:t>
      </w:r>
    </w:p>
    <w:p>
      <w:pPr>
        <w:ind w:left="720" w:right="0"/>
      </w:pPr>
      <w:r>
        <w:rPr>
          <w:rStyle w:val="font_h2"/>
        </w:rPr>
        <w:t xml:space="preserve">6.4. Assemblage des coffres</w:t>
      </w:r>
    </w:p>
    <w:p>
      <w:pPr/>
      <w:r>
        <w:rPr/>
        <w:t xml:space="preserve">Validé par le Groupe Spécialisé le 14/02/2020</w:t>
      </w:r>
    </w:p>
    <w:p>
      <w:pPr/>
      <w:r>
        <w:rPr>
          <w:b/>
          <w:bCs/>
        </w:rPr>
        <w:t xml:space="preserve">Description</w:t>
      </w:r>
    </w:p>
    <w:p>
      <w:pPr/>
      <w:r>
        <w:rPr/>
        <w:t xml:space="preserve">Définir la fabrication des coffres, par la description des modalités d’assemblage et d’étanchéité ainsi que les liaisons avec les dormants de menuiseries.</w:t>
      </w:r>
    </w:p>
    <w:p>
      <w:pPr/>
      <w:r>
        <w:rPr>
          <w:b/>
          <w:bCs/>
        </w:rPr>
        <w:t xml:space="preserve">Justification</w:t>
      </w:r>
    </w:p>
    <w:p>
      <w:pPr/>
      <w:r>
        <w:rPr/>
        <w:t xml:space="preserve">Fournir un dossier de plans illustrant toutes les modalités de fabrication des coffres objet de la demande.</w:t>
      </w:r>
    </w:p>
    <w:p>
      <w:pPr>
        <w:ind w:left="720" w:right="0"/>
      </w:pPr>
      <w:r>
        <w:rPr>
          <w:rStyle w:val="font_h2"/>
        </w:rPr>
        <w:t xml:space="preserve">6.5. Montage sur le chassis</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14/02/2020</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w:t>
      </w:r>
    </w:p>
    <w:p>
      <w:pPr/>
      <w:r>
        <w:rPr>
          <w:b/>
          <w:bCs/>
        </w:rPr>
        <w:t xml:space="preserve">Justification</w:t>
      </w:r>
    </w:p>
    <w:p>
      <w:pPr/>
      <w:r>
        <w:rPr/>
        <w:t xml:space="preserve">Fournir un dossier de plans illustrant toutes les modalités de mise en oeuvre des coffres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7.2. Étanchéité avec le gros oeuvre</w:t>
      </w:r>
    </w:p>
    <w:p>
      <w:pPr/>
      <w:r>
        <w:rPr/>
        <w:t xml:space="preserve">Validé par le Groupe Spécialisé le 14/02/2020</w:t>
      </w:r>
    </w:p>
    <w:p>
      <w:pPr/>
      <w:r>
        <w:rPr>
          <w:b/>
          <w:bCs/>
        </w:rPr>
        <w:t xml:space="preserve">Description</w:t>
      </w:r>
    </w:p>
    <w:p>
      <w:pPr/>
      <w:r>
        <w:rPr/>
        <w:t xml:space="preserve">Définir les modalités de la mise en oeuvre (nature et positionnement du calfeutrement avec le gros-oeuvre) en fonction des types de pose envisagés. </w:t>
      </w:r>
    </w:p>
    <w:p>
      <w:pPr/>
      <w:r>
        <w:rPr>
          <w:i/>
          <w:iCs/>
        </w:rPr>
        <w:t xml:space="preserve">NB : Se reporter au NF DTU 36.5.</w:t>
      </w:r>
    </w:p>
    <w:p>
      <w:pPr/>
      <w:r>
        <w:rPr>
          <w:b/>
          <w:bCs/>
        </w:rPr>
        <w:t xml:space="preserve">Justification</w:t>
      </w:r>
    </w:p>
    <w:p>
      <w:pPr/>
      <w:r>
        <w:rPr/>
        <w:t xml:space="preserve">Fournir un dossier de plans illustrant toutes les modalités de mise en oeuvre des coffres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7.3. Entretien</w:t>
      </w:r>
    </w:p>
    <w:p>
      <w:pPr/>
      <w:r>
        <w:rPr/>
        <w:t xml:space="preserve">Validé par le Groupe Spécialisé le 14/02/2020</w:t>
      </w:r>
    </w:p>
    <w:p>
      <w:pPr/>
      <w:r>
        <w:rPr>
          <w:b/>
          <w:bCs/>
        </w:rPr>
        <w:t xml:space="preserve">Description</w:t>
      </w:r>
    </w:p>
    <w:p>
      <w:pPr/>
      <w:r>
        <w:rPr/>
        <w:t xml:space="preserve">Fournir (si concerné) la notice d’entretien ainsi que le contrat de maintenance.</w:t>
      </w:r>
    </w:p>
    <w:p>
      <w:pPr/>
      <w:r>
        <w:rPr>
          <w:rStyle w:val="font_h1"/>
        </w:rPr>
        <w:t xml:space="preserve">8. Résultats expérimentaux</w:t>
      </w:r>
    </w:p>
    <w:p>
      <w:pPr/>
      <w:r>
        <w:rPr/>
        <w:t xml:space="preserve">Validé par le Groupe Spécialisé le 14/02/2020</w:t>
      </w:r>
    </w:p>
    <w:p>
      <w:pPr/>
      <w:r>
        <w:rPr>
          <w:b/>
          <w:bCs/>
        </w:rPr>
        <w:t xml:space="preserve">Description</w:t>
      </w:r>
    </w:p>
    <w:p>
      <w:pPr/>
      <w:r>
        <w:rPr/>
        <w:t xml:space="preserve">Fournir copie des rapports d’essais de toute nature, en laboratoire ou in situ, sur les constituants ou sur les coffres pouvant apporter justification de l’aptitude à l’emploi du système évalué.</w:t>
      </w:r>
    </w:p>
    <w:p>
      <w:pPr/>
      <w:r>
        <w:rPr/>
        <w:t xml:space="preserve">Sur les constituants :</w:t>
      </w:r>
    </w:p>
    <w:p>
      <w:pPr>
        <w:pPr/>
        <w:numPr>
          <w:ilvl w:val="0"/>
          <w:numId w:val="13"/>
        </w:numPr>
      </w:pPr>
      <w:r>
        <w:rPr/>
        <w:t xml:space="preserve">coulisses formant fourrures d’épaisseur en PVC (</w:t>
      </w:r>
      <w:r>
        <w:rPr>
          <w:i/>
          <w:iCs/>
        </w:rPr>
        <w:t xml:space="preserve">Cf NF EN 12608+référentiel NF126</w:t>
      </w:r>
      <w:r>
        <w:rPr/>
        <w:t xml:space="preserve">) ;</w:t>
      </w:r>
    </w:p>
    <w:p>
      <w:pPr>
        <w:pPr/>
        <w:numPr>
          <w:ilvl w:val="0"/>
          <w:numId w:val="13"/>
        </w:numPr>
      </w:pPr>
      <w:r>
        <w:rPr/>
        <w:t xml:space="preserve">autres profilés PVC (Modalités d’essais selon NF EN 12608) :</w:t>
      </w:r>
    </w:p>
    <w:p>
      <w:pPr>
        <w:pPr/>
        <w:numPr>
          <w:ilvl w:val="1"/>
          <w:numId w:val="13"/>
        </w:numPr>
      </w:pPr>
      <w:r>
        <w:rPr/>
        <w:t xml:space="preserve">essais chocs à froid à 6J (</w:t>
      </w:r>
      <w:r>
        <w:rPr>
          <w:i/>
          <w:iCs/>
        </w:rPr>
        <w:t xml:space="preserve">exigence : idem NF126</w:t>
      </w:r>
      <w:r>
        <w:rPr/>
        <w:t xml:space="preserve">) ;</w:t>
      </w:r>
    </w:p>
    <w:p>
      <w:pPr>
        <w:pPr/>
        <w:numPr>
          <w:ilvl w:val="1"/>
          <w:numId w:val="13"/>
        </w:numPr>
      </w:pPr>
      <w:r>
        <w:rPr/>
        <w:t xml:space="preserve">essais de retrait à 100°C (</w:t>
      </w:r>
      <w:r>
        <w:rPr>
          <w:i/>
          <w:iCs/>
        </w:rPr>
        <w:t xml:space="preserve">exigence : retrait inférieur à 3%</w:t>
      </w:r>
      <w:r>
        <w:rPr/>
        <w:t xml:space="preserve">) ;</w:t>
      </w:r>
    </w:p>
    <w:p>
      <w:pPr>
        <w:pPr/>
        <w:numPr>
          <w:ilvl w:val="1"/>
          <w:numId w:val="13"/>
        </w:numPr>
      </w:pPr>
      <w:r>
        <w:rPr/>
        <w:t xml:space="preserve">comportement après échauffement si coextrusion (</w:t>
      </w:r>
      <w:r>
        <w:rPr>
          <w:i/>
          <w:iCs/>
        </w:rPr>
        <w:t xml:space="preserve">Cf NF126</w:t>
      </w:r>
      <w:r>
        <w:rPr/>
        <w:t xml:space="preserve">) ;</w:t>
      </w:r>
    </w:p>
    <w:p>
      <w:pPr>
        <w:pPr/>
        <w:numPr>
          <w:ilvl w:val="0"/>
          <w:numId w:val="13"/>
        </w:numPr>
      </w:pPr>
      <w:r>
        <w:rPr/>
        <w:t xml:space="preserve">garnitures d’étanchéité :Pour la partie active des profilés (hormis ceux en EPDM) qui assurent une fonction d’étanchéité, leur composition matière doit être conforme au référentiel de certification QB36. ;</w:t>
      </w:r>
    </w:p>
    <w:p>
      <w:pPr>
        <w:pPr/>
        <w:numPr>
          <w:ilvl w:val="0"/>
          <w:numId w:val="13"/>
        </w:numPr>
      </w:pPr>
      <w:r>
        <w:rPr/>
        <w:t xml:space="preserve">profilés métalliques :Les profilés en acier doivent avoir un indice de protection contre la corrosion de Z275).</w:t>
      </w:r>
    </w:p>
    <w:p>
      <w:pPr/>
      <w:r>
        <w:rPr/>
        <w:t xml:space="preserve">Sur les coffres :</w:t>
      </w:r>
    </w:p>
    <w:p>
      <w:pPr>
        <w:pPr/>
        <w:numPr>
          <w:ilvl w:val="0"/>
          <w:numId w:val="14"/>
        </w:numPr>
      </w:pPr>
      <w:r>
        <w:rPr/>
        <w:t xml:space="preserve">fournir copie des essais de perméabilité à l’air réalisés (</w:t>
      </w:r>
      <w:r>
        <w:rPr>
          <w:i/>
          <w:iCs/>
        </w:rPr>
        <w:t xml:space="preserve">selon NF P 20-501 §6 : performance exigée : C3 selon NF P20-302</w:t>
      </w:r>
      <w:r>
        <w:rPr/>
        <w:t xml:space="preserve">) ;</w:t>
      </w:r>
    </w:p>
    <w:p>
      <w:pPr>
        <w:pPr/>
        <w:numPr>
          <w:ilvl w:val="0"/>
          <w:numId w:val="14"/>
        </w:numPr>
      </w:pPr>
      <w:r>
        <w:rPr/>
        <w:t xml:space="preserve">fournir copie des essais de résistance au vent (</w:t>
      </w:r>
      <w:r>
        <w:rPr>
          <w:i/>
          <w:iCs/>
        </w:rPr>
        <w:t xml:space="preserve">performance minimale exigé : FD DTU36.5 P3 §712</w:t>
      </w:r>
      <w:r>
        <w:rPr/>
        <w:t xml:space="preserve">) ;</w:t>
      </w:r>
    </w:p>
    <w:p>
      <w:pPr>
        <w:pPr/>
        <w:numPr>
          <w:ilvl w:val="0"/>
          <w:numId w:val="14"/>
        </w:numPr>
      </w:pPr>
      <w:r>
        <w:rPr/>
        <w:t xml:space="preserve">fournir justifications sur la flèche verticale de l’ensemble coffre+traverse haute de menuiserie (</w:t>
      </w:r>
      <w:r>
        <w:rPr>
          <w:i/>
          <w:iCs/>
        </w:rPr>
        <w:t xml:space="preserve">exigence : 2 mm maximum</w:t>
      </w:r>
      <w:r>
        <w:rPr/>
        <w:t xml:space="preserve">) ;</w:t>
      </w:r>
    </w:p>
    <w:p>
      <w:pPr>
        <w:pPr/>
        <w:numPr>
          <w:ilvl w:val="0"/>
          <w:numId w:val="14"/>
        </w:numPr>
      </w:pPr>
      <w:r>
        <w:rPr/>
        <w:t xml:space="preserve">fournir les calculs thermiques des différentes combinaisons (</w:t>
      </w:r>
      <w:r>
        <w:rPr>
          <w:i/>
          <w:iCs/>
        </w:rPr>
        <w:t xml:space="preserve">En cas de mise en oeuvre dans les bâtiments relevant encore de la RT 2005, ou pour les bâtiments existants, le coefficient de transmission thermique des coffres Uc devra être inférieur ou égal à 3W/m².K. A partir du 1er janvier 2018, en cas de mise en oeuvre dans les bâtiments existants relevant de la RT élément par élément, le coefficient de transmission thermique des coffres Uc devra être inférieur ou égal à 2,5 W/(m².K)</w:t>
      </w:r>
      <w:r>
        <w:rPr/>
        <w:t xml:space="preserve">).</w:t>
      </w:r>
    </w:p>
    <w:p>
      <w:pPr/>
      <w:r>
        <w:rPr/>
        <w:t xml:space="preserve">Fournir copie de rapport d’essais sur produit de calfeutrement ayant fait l’objet d’essais satisfaisants de compatibilité – cohésion/adhésion sur les profilés etaccessoires en contact.</w:t>
      </w:r>
      <w:r>
        <w:rPr>
          <w:i/>
          <w:iCs/>
        </w:rPr>
        <w:t xml:space="preserve">NF EN ISO 8339</w:t>
      </w:r>
    </w:p>
    <w:p>
      <w:pPr/>
      <w:r>
        <w:rPr/>
        <w:t xml:space="preserve">Etablir le lien avec le ou les ATEcs déjà délivrés au bénéfice du demandeur.</w:t>
      </w:r>
    </w:p>
    <w:p>
      <w:pPr/>
      <w:r>
        <w:rPr/>
        <w:t xml:space="preserve">Présenter les évolutions du système depuis sa création.</w:t>
      </w:r>
    </w:p>
    <w:p>
      <w:pPr/>
      <w:r>
        <w:rPr>
          <w:rStyle w:val="font_h1"/>
        </w:rPr>
        <w:t xml:space="preserve">9. Références</w:t>
      </w:r>
    </w:p>
    <w:p>
      <w:pPr>
        <w:ind w:left="720" w:right="0"/>
      </w:pPr>
      <w:r>
        <w:rPr>
          <w:rStyle w:val="font_h2"/>
        </w:rPr>
        <w:t xml:space="preserve">9.1. Données environnementales</w:t>
      </w:r>
    </w:p>
    <w:p>
      <w:pPr>
        <w:ind w:left="720" w:right="0"/>
      </w:pPr>
      <w:r>
        <w:rPr>
          <w:rStyle w:val="font_h2"/>
        </w:rPr>
        <w:t xml:space="preserve">9.2. Références de chantier</w:t>
      </w:r>
    </w:p>
    <w:p>
      <w:pPr/>
      <w:r>
        <w:rPr>
          <w:rStyle w:val="font_h1"/>
        </w:rPr>
        <w:t xml:space="preserve">10. Jurisprudences</w:t>
      </w:r>
    </w:p>
    <w:p>
      <w:pPr>
        <w:ind w:left="720" w:right="0"/>
      </w:pPr>
      <w:r>
        <w:rPr>
          <w:rStyle w:val="font_h2"/>
        </w:rPr>
        <w:t xml:space="preserve">10.1. 2017 (10) Recouvrement minimum en cas de pose ITE</w:t>
      </w:r>
    </w:p>
    <w:p>
      <w:pPr/>
      <w:r>
        <w:rPr/>
        <w:t xml:space="preserve">Validé par le Groupe Spécialisé le 26/10/2017</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10.2. 2017 (12) Risques sismiques</w:t>
      </w:r>
    </w:p>
    <w:p>
      <w:pPr/>
      <w:r>
        <w:rPr/>
        <w:t xml:space="preserve">Validé par le Groupe Spécialisé le 15/12/2017</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10.3. 2017 (12) Mise en œuvre ITE</w:t>
      </w:r>
    </w:p>
    <w:p>
      <w:pPr/>
      <w:r>
        <w:rPr/>
        <w:t xml:space="preserve">Validé par le Groupe Spécialisé le 15/12/2017</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10.4.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10.5.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10.6.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5"/>
        </w:numPr>
      </w:pPr>
      <w:r>
        <w:rPr/>
        <w:t xml:space="preserve">Seuils aluminium sans rupteur thermique</w:t>
      </w:r>
    </w:p>
    <w:p>
      <w:pPr>
        <w:pPr/>
        <w:numPr>
          <w:ilvl w:val="0"/>
          <w:numId w:val="15"/>
        </w:numPr>
      </w:pPr>
      <w:r>
        <w:rPr/>
        <w:t xml:space="preserve">Chicanes de coulissant sans rupteur thermique</w:t>
      </w:r>
    </w:p>
    <w:p>
      <w:pPr>
        <w:pPr/>
        <w:numPr>
          <w:ilvl w:val="0"/>
          <w:numId w:val="15"/>
        </w:numPr>
      </w:pPr>
      <w:r>
        <w:rPr/>
        <w:t xml:space="preserve">Poignée de manœuvre traversante sans rupteur thermique</w:t>
      </w:r>
    </w:p>
    <w:p>
      <w:pPr>
        <w:pPr/>
        <w:numPr>
          <w:ilvl w:val="0"/>
          <w:numId w:val="15"/>
        </w:numPr>
      </w:pPr>
      <w:r>
        <w:rPr/>
        <w:t xml:space="preserve">Profilé d'ouvrant sans rupteur thermique en contact directe avec le battement extérieur métallique</w:t>
      </w:r>
    </w:p>
    <w:p>
      <w:pPr>
        <w:pPr/>
        <w:numPr>
          <w:ilvl w:val="0"/>
          <w:numId w:val="15"/>
        </w:numPr>
      </w:pPr>
      <w:r>
        <w:rPr/>
        <w:t xml:space="preserve">Profilé de coffre traversant sans rupteur thermique</w:t>
      </w:r>
    </w:p>
    <w:p>
      <w:pPr>
        <w:ind w:left="720" w:right="0"/>
      </w:pPr>
      <w:r>
        <w:rPr>
          <w:rStyle w:val="font_h2"/>
        </w:rPr>
        <w:t xml:space="preserve">10.7.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10.8.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10.9. 2020 (02) Entrée d’air dans les coffres de volet roulant avec fermeture de classe 5</w:t>
      </w:r>
    </w:p>
    <w:p>
      <w:pPr/>
      <w:r>
        <w:rPr/>
        <w:t xml:space="preserve">Validé par le Groupe Spécialisé le 25/06/2020</w:t>
      </w:r>
    </w:p>
    <w:p>
      <w:pPr/>
      <w:r>
        <w:rPr>
          <w:b/>
          <w:bCs/>
        </w:rPr>
        <w:t xml:space="preserve">Description</w:t>
      </w:r>
    </w:p>
    <w:p>
      <w:pPr/>
      <w:r>
        <w:rPr/>
        <w:t xml:space="preserve">Suite au débat en séance, après prise d’informations du CSTB et conformément au cahier 3783, la mise en place d’entrée d’air dans un coffre de volet roulant n’est pas compatible avec la présence  d’une fermeture de classe 5 (hors cas d’un chemisage complet du flux d’air au travers du coffre par exemple).</w:t>
      </w:r>
    </w:p>
    <w:p>
      <w:pPr>
        <w:ind w:left="720" w:right="0"/>
      </w:pPr>
      <w:r>
        <w:rPr>
          <w:rStyle w:val="font_h2"/>
        </w:rPr>
        <w:t xml:space="preserve">10.10.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6"/>
        </w:numPr>
      </w:pPr>
      <w:r>
        <w:rPr/>
        <w:t xml:space="preserve">la pièce 3D soit géométriquement identique à la pièce finale,</w:t>
      </w:r>
    </w:p>
    <w:p>
      <w:pPr>
        <w:pPr/>
        <w:numPr>
          <w:ilvl w:val="0"/>
          <w:numId w:val="16"/>
        </w:numPr>
      </w:pPr>
      <w:r>
        <w:rPr/>
        <w:t xml:space="preserve">une date de mise à disposition de la pièce finale soit arrêtée,</w:t>
      </w:r>
    </w:p>
    <w:p>
      <w:pPr>
        <w:pPr/>
        <w:numPr>
          <w:ilvl w:val="0"/>
          <w:numId w:val="16"/>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10.11.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17"/>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17"/>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10.12.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10.13.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10.14.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10.15. 2021 (05) Confirmation de la jurisprudence concernant le plaxage du lambrequin</w:t>
      </w:r>
    </w:p>
    <w:p>
      <w:pPr/>
      <w:r>
        <w:rPr/>
        <w:t xml:space="preserve">Validé par le Groupe Spécialisé le 24/06/2021</w:t>
      </w:r>
    </w:p>
    <w:p>
      <w:pPr/>
      <w:r>
        <w:rPr>
          <w:b/>
          <w:bCs/>
        </w:rPr>
        <w:t xml:space="preserve">Description</w:t>
      </w:r>
    </w:p>
    <w:p>
      <w:pPr/>
      <w:r>
        <w:rPr/>
        <w:t xml:space="preserve">Le GS6 confirme sa position ainsi que la jurisprudence suivante :</w:t>
      </w:r>
    </w:p>
    <w:p>
      <w:pPr/>
      <w:r>
        <w:rPr/>
        <w:t xml:space="preserve">Lorsqu'un coffre est posé derrière le linteau et en l’absence d’essai d’ensoleillement satisfaisant, le lambrequin devra être plaxé partiellement pour les coloris L* inférieurs à 82.</w:t>
      </w:r>
    </w:p>
    <w:p>
      <w:pPr>
        <w:ind w:left="720" w:right="0"/>
      </w:pPr>
      <w:r>
        <w:rPr>
          <w:rStyle w:val="font_h2"/>
        </w:rPr>
        <w:t xml:space="preserve">10.16. 2021 (05) Protocole d’essais au vent sur les coffres</w:t>
      </w:r>
    </w:p>
    <w:p>
      <w:pPr/>
      <w:r>
        <w:rPr/>
        <w:t xml:space="preserve">Validé par le Groupe Spécialisé le 24/06/2021</w:t>
      </w:r>
    </w:p>
    <w:p>
      <w:pPr/>
      <w:r>
        <w:rPr>
          <w:b/>
          <w:bCs/>
        </w:rPr>
        <w:t xml:space="preserve">Description</w:t>
      </w:r>
    </w:p>
    <w:p>
      <w:pPr/>
      <w:r>
        <w:rPr/>
        <w:t xml:space="preserve">Le protocole d’essais au vent sur les coffres présenté en réunion est accepté :</w:t>
      </w:r>
    </w:p>
    <w:tbl>
      <w:tblGrid>
        <w:gridCol/>
        <w:gridCol/>
      </w:tblGrid>
      <w:tblPr>
        <w:tblW w:w="0" w:type="auto"/>
        <w:tblLayout w:type="autofit"/>
      </w:tblPr>
      <w:tr>
        <w:trPr>
          <w:tblHeader w:val="1"/>
        </w:trPr>
        <w:tc>
          <w:tcPr/>
          <w:p>
            <w:pPr/>
            <w:r>
              <w:rPr/>
              <w:t xml:space="preserve">Longueur de coffre (mm)</w:t>
            </w:r>
          </w:p>
        </w:tc>
        <w:tc>
          <w:tcPr/>
          <w:p>
            <w:pPr/>
            <w:r>
              <w:rPr/>
              <w:t xml:space="preserve">Pression P1 utile</w:t>
            </w:r>
          </w:p>
        </w:tc>
      </w:tr>
      <w:tr>
        <w:trPr/>
        <w:tc>
          <w:tcPr/>
          <w:p>
            <w:pPr/>
            <w:r>
              <w:rPr/>
              <w:t xml:space="preserve">1500</w:t>
            </w:r>
          </w:p>
        </w:tc>
        <w:tc>
          <w:tcPr/>
          <w:p>
            <w:pPr/>
            <w:r>
              <w:rPr/>
              <w:t xml:space="preserve">750</w:t>
            </w:r>
          </w:p>
        </w:tc>
      </w:tr>
      <w:tr>
        <w:trPr/>
        <w:tc>
          <w:tcPr/>
          <w:p>
            <w:pPr/>
            <w:r>
              <w:rPr/>
              <w:t xml:space="preserve">1600</w:t>
            </w:r>
          </w:p>
        </w:tc>
        <w:tc>
          <w:tcPr/>
          <w:p>
            <w:pPr/>
            <w:r>
              <w:rPr/>
              <w:t xml:space="preserve">850</w:t>
            </w:r>
          </w:p>
        </w:tc>
      </w:tr>
      <w:tr>
        <w:trPr/>
        <w:tc>
          <w:tcPr/>
          <w:p>
            <w:pPr/>
            <w:r>
              <w:rPr/>
              <w:t xml:space="preserve">1700</w:t>
            </w:r>
          </w:p>
        </w:tc>
        <w:tc>
          <w:tcPr/>
          <w:p>
            <w:pPr/>
            <w:r>
              <w:rPr/>
              <w:t xml:space="preserve">950</w:t>
            </w:r>
          </w:p>
        </w:tc>
      </w:tr>
      <w:tr>
        <w:trPr/>
        <w:tc>
          <w:tcPr/>
          <w:p>
            <w:pPr/>
            <w:r>
              <w:rPr/>
              <w:t xml:space="preserve">1800</w:t>
            </w:r>
          </w:p>
        </w:tc>
        <w:tc>
          <w:tcPr/>
          <w:p>
            <w:pPr/>
            <w:r>
              <w:rPr/>
              <w:t xml:space="preserve">1000</w:t>
            </w:r>
          </w:p>
        </w:tc>
      </w:tr>
      <w:tr>
        <w:trPr/>
        <w:tc>
          <w:tcPr/>
          <w:p>
            <w:pPr/>
            <w:r>
              <w:rPr/>
              <w:t xml:space="preserve">1900</w:t>
            </w:r>
          </w:p>
        </w:tc>
        <w:tc>
          <w:tcPr/>
          <w:p>
            <w:pPr/>
            <w:r>
              <w:rPr/>
              <w:t xml:space="preserve">1050</w:t>
            </w:r>
          </w:p>
        </w:tc>
      </w:tr>
      <w:tr>
        <w:trPr/>
        <w:tc>
          <w:tcPr/>
          <w:p>
            <w:pPr/>
            <w:r>
              <w:rPr/>
              <w:t xml:space="preserve">2000</w:t>
            </w:r>
          </w:p>
        </w:tc>
        <w:tc>
          <w:tcPr/>
          <w:p>
            <w:pPr/>
            <w:r>
              <w:rPr/>
              <w:t xml:space="preserve">1100</w:t>
            </w:r>
          </w:p>
        </w:tc>
      </w:tr>
      <w:tr>
        <w:trPr/>
        <w:tc>
          <w:tcPr/>
          <w:p>
            <w:pPr/>
            <w:r>
              <w:rPr/>
              <w:t xml:space="preserve">2100</w:t>
            </w:r>
          </w:p>
        </w:tc>
        <w:tc>
          <w:tcPr/>
          <w:p>
            <w:pPr/>
            <w:r>
              <w:rPr/>
              <w:t xml:space="preserve">1150</w:t>
            </w:r>
          </w:p>
        </w:tc>
      </w:tr>
      <w:tr>
        <w:trPr/>
        <w:tc>
          <w:tcPr/>
          <w:p>
            <w:pPr/>
            <w:r>
              <w:rPr/>
              <w:t xml:space="preserve">2200</w:t>
            </w:r>
          </w:p>
        </w:tc>
        <w:tc>
          <w:tcPr/>
          <w:p>
            <w:pPr/>
            <w:r>
              <w:rPr/>
              <w:t xml:space="preserve">1200</w:t>
            </w:r>
          </w:p>
        </w:tc>
      </w:tr>
      <w:tr>
        <w:trPr/>
        <w:tc>
          <w:tcPr/>
          <w:p>
            <w:pPr/>
            <w:r>
              <w:rPr/>
              <w:t xml:space="preserve">2300</w:t>
            </w:r>
          </w:p>
        </w:tc>
        <w:tc>
          <w:tcPr/>
          <w:p>
            <w:pPr/>
            <w:r>
              <w:rPr/>
              <w:t xml:space="preserve">1250</w:t>
            </w:r>
          </w:p>
        </w:tc>
      </w:tr>
      <w:tr>
        <w:trPr/>
        <w:tc>
          <w:tcPr/>
          <w:p>
            <w:pPr/>
            <w:r>
              <w:rPr/>
              <w:t xml:space="preserve">2400</w:t>
            </w:r>
          </w:p>
        </w:tc>
        <w:tc>
          <w:tcPr/>
          <w:p>
            <w:pPr/>
            <w:r>
              <w:rPr/>
              <w:t xml:space="preserve">1250</w:t>
            </w:r>
          </w:p>
        </w:tc>
      </w:tr>
      <w:tr>
        <w:trPr/>
        <w:tc>
          <w:tcPr/>
          <w:p>
            <w:pPr/>
            <w:r>
              <w:rPr/>
              <w:t xml:space="preserve">2500</w:t>
            </w:r>
          </w:p>
        </w:tc>
        <w:tc>
          <w:tcPr/>
          <w:p>
            <w:pPr/>
            <w:r>
              <w:rPr/>
              <w:t xml:space="preserve">1300</w:t>
            </w:r>
          </w:p>
        </w:tc>
      </w:tr>
      <w:tr>
        <w:trPr/>
        <w:tc>
          <w:tcPr/>
          <w:p>
            <w:pPr/>
            <w:r>
              <w:rPr/>
              <w:t xml:space="preserve">2600</w:t>
            </w:r>
          </w:p>
        </w:tc>
        <w:tc>
          <w:tcPr/>
          <w:p>
            <w:pPr/>
            <w:r>
              <w:rPr/>
              <w:t xml:space="preserve">1300</w:t>
            </w:r>
          </w:p>
        </w:tc>
      </w:tr>
      <w:tr>
        <w:trPr/>
        <w:tc>
          <w:tcPr/>
          <w:p>
            <w:pPr/>
            <w:r>
              <w:rPr/>
              <w:t xml:space="preserve">2700</w:t>
            </w:r>
          </w:p>
        </w:tc>
        <w:tc>
          <w:tcPr/>
          <w:p>
            <w:pPr/>
            <w:r>
              <w:rPr/>
              <w:t xml:space="preserve">1350</w:t>
            </w:r>
          </w:p>
        </w:tc>
      </w:tr>
      <w:tr>
        <w:trPr/>
        <w:tc>
          <w:tcPr/>
          <w:p>
            <w:pPr/>
            <w:r>
              <w:rPr/>
              <w:t xml:space="preserve">2800</w:t>
            </w:r>
          </w:p>
        </w:tc>
        <w:tc>
          <w:tcPr/>
          <w:p>
            <w:pPr/>
            <w:r>
              <w:rPr/>
              <w:t xml:space="preserve">1350</w:t>
            </w:r>
          </w:p>
        </w:tc>
      </w:tr>
      <w:tr>
        <w:trPr/>
        <w:tc>
          <w:tcPr/>
          <w:p>
            <w:pPr/>
            <w:r>
              <w:rPr/>
              <w:t xml:space="preserve">2900</w:t>
            </w:r>
          </w:p>
        </w:tc>
        <w:tc>
          <w:tcPr/>
          <w:p>
            <w:pPr/>
            <w:r>
              <w:rPr/>
              <w:t xml:space="preserve">1350</w:t>
            </w:r>
          </w:p>
        </w:tc>
      </w:tr>
      <w:tr>
        <w:trPr/>
        <w:tc>
          <w:tcPr/>
          <w:p>
            <w:pPr/>
            <w:r>
              <w:rPr/>
              <w:t xml:space="preserve">3000</w:t>
            </w:r>
          </w:p>
        </w:tc>
        <w:tc>
          <w:tcPr/>
          <w:p>
            <w:pPr/>
            <w:r>
              <w:rPr/>
              <w:t xml:space="preserve">1400</w:t>
            </w:r>
          </w:p>
        </w:tc>
      </w:tr>
      <w:tr>
        <w:trPr/>
        <w:tc>
          <w:tcPr/>
          <w:p>
            <w:pPr/>
            <w:r>
              <w:rPr/>
              <w:t xml:space="preserve">3100</w:t>
            </w:r>
          </w:p>
        </w:tc>
        <w:tc>
          <w:tcPr/>
          <w:p>
            <w:pPr/>
            <w:r>
              <w:rPr/>
              <w:t xml:space="preserve">1400</w:t>
            </w:r>
          </w:p>
        </w:tc>
      </w:tr>
      <w:tr>
        <w:trPr/>
        <w:tc>
          <w:tcPr/>
          <w:p>
            <w:pPr/>
            <w:r>
              <w:rPr/>
              <w:t xml:space="preserve">3200</w:t>
            </w:r>
          </w:p>
        </w:tc>
        <w:tc>
          <w:tcPr/>
          <w:p>
            <w:pPr/>
            <w:r>
              <w:rPr/>
              <w:t xml:space="preserve">1400</w:t>
            </w:r>
          </w:p>
        </w:tc>
      </w:tr>
      <w:tr>
        <w:trPr/>
        <w:tc>
          <w:tcPr/>
          <w:p>
            <w:pPr/>
            <w:r>
              <w:rPr/>
              <w:t xml:space="preserve">3300</w:t>
            </w:r>
          </w:p>
        </w:tc>
        <w:tc>
          <w:tcPr/>
          <w:p>
            <w:pPr/>
            <w:r>
              <w:rPr/>
              <w:t xml:space="preserve">1450</w:t>
            </w:r>
          </w:p>
        </w:tc>
      </w:tr>
      <w:tr>
        <w:trPr/>
        <w:tc>
          <w:tcPr/>
          <w:p>
            <w:pPr/>
            <w:r>
              <w:rPr/>
              <w:t xml:space="preserve">3400</w:t>
            </w:r>
          </w:p>
        </w:tc>
        <w:tc>
          <w:tcPr/>
          <w:p>
            <w:pPr/>
            <w:r>
              <w:rPr/>
              <w:t xml:space="preserve">1450</w:t>
            </w:r>
          </w:p>
        </w:tc>
      </w:tr>
      <w:tr>
        <w:trPr/>
        <w:tc>
          <w:tcPr/>
          <w:p>
            <w:pPr/>
            <w:r>
              <w:rPr/>
              <w:t xml:space="preserve">3500</w:t>
            </w:r>
          </w:p>
        </w:tc>
        <w:tc>
          <w:tcPr/>
          <w:p>
            <w:pPr/>
            <w:r>
              <w:rPr/>
              <w:t xml:space="preserve">1450</w:t>
            </w:r>
          </w:p>
        </w:tc>
      </w:tr>
    </w:tbl>
    <w:p>
      <w:pPr>
        <w:ind w:left="720" w:right="0"/>
      </w:pPr>
      <w:r>
        <w:rPr>
          <w:rStyle w:val="font_h2"/>
        </w:rPr>
        <w:t xml:space="preserve">10.17.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10.18. 2021 (11) Protocole d’essais de résistance au vent des coffres de volet roulant</w:t>
      </w:r>
    </w:p>
    <w:p>
      <w:pPr/>
      <w:r>
        <w:rPr/>
        <w:t xml:space="preserve">Validé par le Groupe Spécialisé le 09/12/2021</w:t>
      </w:r>
    </w:p>
    <w:p>
      <w:pPr/>
      <w:r>
        <w:rPr>
          <w:b/>
          <w:bCs/>
        </w:rPr>
        <w:t xml:space="preserve">Description</w:t>
      </w:r>
    </w:p>
    <w:p>
      <w:pPr/>
      <w:r>
        <w:rPr/>
        <w:t xml:space="preserve">Le GS confirme la non nécessité de réaliser 50 cycles en pression /dépression pour mesurer la résistance au vent des coffres de volets roulants.</w:t>
      </w:r>
    </w:p>
    <w:p>
      <w:pPr/>
      <w:r>
        <w:rPr/>
        <w:t xml:space="preserve">Le GS rappelle qu’en cas de nécessité d’évaluer la durabilité mécanique de la liaison coffre/fenêtre, un essai d’endurance au vent est effectué comme suit :</w:t>
      </w:r>
    </w:p>
    <w:p>
      <w:pPr>
        <w:pPr/>
        <w:numPr>
          <w:ilvl w:val="0"/>
          <w:numId w:val="18"/>
        </w:numPr>
      </w:pPr>
      <w:r>
        <w:rPr/>
        <w:t xml:space="preserve">10000 cycles ± 600 Pa,</w:t>
      </w:r>
    </w:p>
    <w:p>
      <w:pPr>
        <w:pPr/>
        <w:numPr>
          <w:ilvl w:val="0"/>
          <w:numId w:val="18"/>
        </w:numPr>
      </w:pPr>
      <w:r>
        <w:rPr/>
        <w:t xml:space="preserve">100 cycles de 0 à 1200 Pa,</w:t>
      </w:r>
    </w:p>
    <w:p>
      <w:pPr>
        <w:pPr/>
        <w:numPr>
          <w:ilvl w:val="0"/>
          <w:numId w:val="18"/>
        </w:numPr>
      </w:pPr>
      <w:r>
        <w:rPr/>
        <w:t xml:space="preserve">durée du cycle : 5 s.</w:t>
      </w:r>
    </w:p>
    <w:p>
      <w:pPr>
        <w:ind w:left="720" w:right="0"/>
      </w:pPr>
      <w:r>
        <w:rPr>
          <w:rStyle w:val="font_h2"/>
        </w:rPr>
        <w:t xml:space="preserve">10.19.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9"/>
        </w:numPr>
      </w:pPr>
      <w:r>
        <w:rPr/>
        <w:t xml:space="preserve">label Qualimarine avec alliage qualité bâtiment selon définition du DTU 33.1 ;</w:t>
      </w:r>
    </w:p>
    <w:p>
      <w:pPr/>
      <w:r>
        <w:rPr/>
        <w:t xml:space="preserve">ou bien</w:t>
      </w:r>
    </w:p>
    <w:p>
      <w:pPr>
        <w:pPr/>
        <w:numPr>
          <w:ilvl w:val="0"/>
          <w:numId w:val="20"/>
        </w:numPr>
      </w:pPr>
      <w:r>
        <w:rPr/>
        <w:t xml:space="preserve">label Qualicoat Seaside AA1 ou AA2 minimum avec alliage qualité bâtiment selon définition du DTU 33.1.</w:t>
      </w:r>
    </w:p>
    <w:p>
      <w:pPr>
        <w:ind w:left="720" w:right="0"/>
      </w:pPr>
      <w:r>
        <w:rPr>
          <w:rStyle w:val="font_h2"/>
        </w:rPr>
        <w:t xml:space="preserve">10.20.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w:t>
      </w:r>
    </w:p>
    <w:p>
      <w:pPr/>
      <w:r>
        <w:rPr/>
        <w:t xml:space="preserve">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10.21.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10.22.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w:t>
      </w:r>
    </w:p>
    <w:p>
      <w:pPr/>
      <w:r>
        <w:rPr/>
        <w:t xml:space="preserve">De façon générale, pour tous les systèmes collés, le fabriquant de colle devra apporter les preuves de son engagement à :</w:t>
      </w:r>
    </w:p>
    <w:p>
      <w:pPr>
        <w:pPr/>
        <w:numPr>
          <w:ilvl w:val="0"/>
          <w:numId w:val="21"/>
        </w:numPr>
      </w:pPr>
      <w:r>
        <w:rPr/>
        <w:t xml:space="preserve">Garantir une constance de qualité de fabrication et une constance de la composition chimique.</w:t>
      </w:r>
    </w:p>
    <w:p>
      <w:pPr>
        <w:pPr/>
        <w:numPr>
          <w:ilvl w:val="0"/>
          <w:numId w:val="21"/>
        </w:numPr>
      </w:pPr>
      <w:r>
        <w:rPr/>
        <w:t xml:space="preserve">En cas de changement, informer le CSTB de toute modification de la composition de son produit.</w:t>
      </w:r>
    </w:p>
    <w:p>
      <w:pPr>
        <w:pPr/>
        <w:numPr>
          <w:ilvl w:val="0"/>
          <w:numId w:val="21"/>
        </w:numPr>
      </w:pPr>
      <w:r>
        <w:rPr/>
        <w:t xml:space="preserve">Assurer le contrôle qualité en fabrication garantissant les performances de son produit.</w:t>
      </w:r>
    </w:p>
    <w:p>
      <w:pPr>
        <w:ind w:left="720" w:right="0"/>
      </w:pPr>
      <w:r>
        <w:rPr>
          <w:rStyle w:val="font_h2"/>
        </w:rPr>
        <w:t xml:space="preserve">10.23.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10.24. 2022 (10) Ensoleillement sur coffre avec lambrequin revêtu : valeur maximale de retrait au niveau des joues</w:t>
      </w:r>
    </w:p>
    <w:p>
      <w:pPr/>
      <w:r>
        <w:rPr/>
        <w:t xml:space="preserve">Validé par le Groupe Spécialisé le 16/11/2022</w:t>
      </w:r>
    </w:p>
    <w:p>
      <w:pPr/>
      <w:r>
        <w:rPr>
          <w:b/>
          <w:bCs/>
        </w:rPr>
        <w:t xml:space="preserve">Description</w:t>
      </w:r>
    </w:p>
    <w:p>
      <w:pPr/>
      <w:r>
        <w:rPr/>
        <w:t xml:space="preserve">Dans le cas d’un déclippage des planches, l’essai est jugé non satisfaisant et n’est pas présenté au GS.</w:t>
      </w:r>
    </w:p>
    <w:p>
      <w:pPr/>
      <w:r>
        <w:rPr/>
        <w:t xml:space="preserve">Concernant le retrait du lambrequin, compte tenu des essais déjà acceptés, le GS6 estime qu'un retrait supérieur à 2 mm est rédhibitoire.</w:t>
      </w:r>
    </w:p>
    <w:p>
      <w:pPr>
        <w:ind w:left="720" w:right="0"/>
      </w:pPr>
      <w:r>
        <w:rPr>
          <w:rStyle w:val="font_h2"/>
        </w:rPr>
        <w:t xml:space="preserve">10.25. 2023 (03) Opportunité de mise en place des calculs thermiques attestés conforme à l’Avis Technique dans le cas des coffres</w:t>
      </w:r>
    </w:p>
    <w:p>
      <w:pPr/>
      <w:r>
        <w:rPr/>
        <w:t xml:space="preserve">Validé par le Groupe Spécialisé le 20/04/2023</w:t>
      </w:r>
    </w:p>
    <w:p>
      <w:pPr/>
      <w:r>
        <w:rPr>
          <w:b/>
          <w:bCs/>
        </w:rPr>
        <w:t xml:space="preserve">Description</w:t>
      </w:r>
    </w:p>
    <w:p>
      <w:pPr/>
      <w:r>
        <w:rPr/>
        <w:t xml:space="preserve">Le GS6 s’exprime favorablement pour que les calculs thermiques soient déplacés dans un rapport d’étude attesté conforme à l’Avis Technique , référencé dans les résultats expérimentaux. De la même manière que cela est déjà réalisé dans les DTA de fenêtres.</w:t>
      </w:r>
    </w:p>
    <w:p>
      <w:pPr/>
      <w:r>
        <w:rPr/>
        <w:t xml:space="preserve">Cela concernera toutes les nouvelles demandes et les révisions présentées à partir du GS6 d’avril 2023.</w:t>
      </w:r>
    </w:p>
    <w:p>
      <w:pPr>
        <w:ind w:left="720" w:right="0"/>
      </w:pPr>
      <w:r>
        <w:rPr>
          <w:rStyle w:val="font_h2"/>
        </w:rPr>
        <w:t xml:space="preserve">10.26.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10.27. 2023 (06) Les isolants dans les coffres CO20/ SECMI</w:t>
      </w:r>
    </w:p>
    <w:p>
      <w:pPr/>
      <w:r>
        <w:rPr/>
        <w:t xml:space="preserve">Validé par le Groupe Spécialisé le 14/09/2023</w:t>
      </w:r>
    </w:p>
    <w:p>
      <w:pPr/>
      <w:r>
        <w:rPr>
          <w:b/>
          <w:bCs/>
        </w:rPr>
        <w:t xml:space="preserve">Description</w:t>
      </w:r>
    </w:p>
    <w:p>
      <w:pPr/>
      <w:r>
        <w:rPr/>
        <w:t xml:space="preserve">Le GS6 confirme sa jurisprudence de juin 2011 : « Le CECMI confirme l'applicabilité de l'article CO20 aux coffres de volet roulant. L'article AM8 ne s'applique pas aux isolants intégrés dans les coffres de volet roulant. ».</w:t>
      </w:r>
    </w:p>
    <w:p>
      <w:pPr>
        <w:ind w:left="720" w:right="0"/>
      </w:pPr>
      <w:r>
        <w:rPr>
          <w:rStyle w:val="font_h2"/>
        </w:rPr>
        <w:t xml:space="preserve">10.28.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22"/>
        </w:numPr>
      </w:pPr>
      <w:r>
        <w:rPr/>
        <w:t xml:space="preserve">le préciser dans le paragraphe « domaine d’emploi », </w:t>
      </w:r>
    </w:p>
    <w:p>
      <w:pPr>
        <w:pPr/>
        <w:numPr>
          <w:ilvl w:val="0"/>
          <w:numId w:val="22"/>
        </w:numPr>
      </w:pPr>
      <w:r>
        <w:rPr/>
        <w:t xml:space="preserve">l’indiquer dans le paragraphe « remarques complémentaires du groupe spécialisé », </w:t>
      </w:r>
    </w:p>
    <w:p>
      <w:pPr>
        <w:pPr/>
        <w:numPr>
          <w:ilvl w:val="0"/>
          <w:numId w:val="22"/>
        </w:numPr>
      </w:pPr>
      <w:r>
        <w:rPr/>
        <w:t xml:space="preserve">présenter dans le dossier publié un schéma montrant la mise en place de ce profilé et son interaction avec le gros œuvre.</w:t>
      </w:r>
    </w:p>
    <w:p>
      <w:pPr>
        <w:ind w:left="720" w:right="0"/>
      </w:pPr>
      <w:r>
        <w:rPr>
          <w:rStyle w:val="font_h2"/>
        </w:rPr>
        <w:t xml:space="preserve">10.29.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10.30.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10.31. 2024 (03) Lame occultante</w:t>
      </w:r>
    </w:p>
    <w:p>
      <w:pPr/>
      <w:r>
        <w:rPr/>
        <w:t xml:space="preserve">Validé par le Groupe Spécialisé le 16/05/2024</w:t>
      </w:r>
    </w:p>
    <w:p>
      <w:pPr/>
      <w:r>
        <w:rPr>
          <w:b/>
          <w:bCs/>
        </w:rPr>
        <w:t xml:space="preserve">Description</w:t>
      </w:r>
    </w:p>
    <w:p>
      <w:pPr/>
      <w:r>
        <w:rPr/>
        <w:t xml:space="preserve">Les lames occultantes ne seront plus présentées dans les AT de coffre de volet roulant et/ou store vénitien extérieur.</w:t>
      </w:r>
    </w:p>
    <w:p>
      <w:pPr>
        <w:ind w:left="720" w:right="0"/>
      </w:pPr>
      <w:r>
        <w:rPr>
          <w:rStyle w:val="font_h2"/>
        </w:rPr>
        <w:t xml:space="preserve">10.32. 2024 (03) FDES des coffres</w:t>
      </w:r>
    </w:p>
    <w:p>
      <w:pPr/>
      <w:r>
        <w:rPr/>
        <w:t xml:space="preserve">Validé par le Groupe Spécialisé le 16/05/2024</w:t>
      </w:r>
    </w:p>
    <w:p>
      <w:pPr/>
      <w:r>
        <w:rPr>
          <w:b/>
          <w:bCs/>
        </w:rPr>
        <w:t xml:space="preserve">Description</w:t>
      </w:r>
    </w:p>
    <w:p>
      <w:pPr/>
      <w:r>
        <w:rPr/>
        <w:t xml:space="preserve">Seules les FDES incluant le coffre de volet seront prises en compte. Dans le cas où la FDES couvre un système complet, cela sera précisé.</w:t>
      </w:r>
    </w:p>
    <w:p>
      <w:pPr>
        <w:ind w:left="720" w:right="0"/>
      </w:pPr>
      <w:r>
        <w:rPr>
          <w:rStyle w:val="font_h2"/>
        </w:rPr>
        <w:t xml:space="preserve">10.33. 2024 (03) Entrées d’air</w:t>
      </w:r>
    </w:p>
    <w:p>
      <w:pPr/>
      <w:r>
        <w:rPr/>
        <w:t xml:space="preserve">Validé par le Groupe Spécialisé le 16/05/2024</w:t>
      </w:r>
    </w:p>
    <w:p>
      <w:pPr/>
      <w:r>
        <w:rPr>
          <w:b/>
          <w:bCs/>
        </w:rPr>
        <w:t xml:space="preserve">Description</w:t>
      </w:r>
    </w:p>
    <w:p>
      <w:pPr/>
      <w:r>
        <w:rPr/>
        <w:t xml:space="preserve">Dans le cas où le système de coffres de volets roulants et/ou stores vénitiens extérieurs ne permet pas de satisfaire aux exigences du cahier 3376_V3 de mars 2022, il sera ajouté la phrase suivante dans les remarques complémentaires du GS : « Ce système ne peut être mis en œuvre que dans des bâtiments équipés de système de ventilation de type double flux ou lorsque les entrées d’air sont mises en œuvre dans les murs. ».</w:t>
      </w:r>
    </w:p>
    <w:p>
      <w:pPr>
        <w:ind w:left="720" w:right="0"/>
      </w:pPr>
      <w:r>
        <w:rPr>
          <w:rStyle w:val="font_h2"/>
        </w:rPr>
        <w:t xml:space="preserve">10.34.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23"/>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23"/>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10.35. 2025 (02) Justification de la compatibilité et de l’adhésivité-cohésion des mastics</w:t>
      </w:r>
    </w:p>
    <w:p>
      <w:pPr>
        <w:ind w:left="720" w:right="0"/>
      </w:pPr>
      <w:r>
        <w:rPr>
          <w:rStyle w:val="font_h2"/>
        </w:rPr>
        <w:t xml:space="preserve">10.36. 2025 (03) Protection de la traverse haute dans le cas des bardages ventilés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5BE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8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5A0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17C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BF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97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936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25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4E4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DE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A76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D6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157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664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B529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2025-11-03T15:42:25+01:00</dcterms:created>
  <dcterms:modified xsi:type="dcterms:W3CDTF">2025-11-03T15:42:25+01:00</dcterms:modified>
</cp:coreProperties>
</file>

<file path=docProps/custom.xml><?xml version="1.0" encoding="utf-8"?>
<Properties xmlns="http://schemas.openxmlformats.org/officeDocument/2006/custom-properties" xmlns:vt="http://schemas.openxmlformats.org/officeDocument/2006/docPropsVTypes"/>
</file>