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d'évacuation des eaux pluviales par effet siphoïde</w:t>
      </w:r>
    </w:p>
    <w:p>
      <w:pPr/>
      <w:r>
        <w:rPr>
          <w:rStyle w:val="font_h1"/>
        </w:rPr>
        <w:t xml:space="preserve">1. Généralités</w:t>
      </w:r>
    </w:p>
    <w:p>
      <w:pPr/>
      <w:r>
        <w:rPr>
          <w:rStyle w:val="font_h1"/>
        </w:rPr>
        <w:t xml:space="preserve">2. Principe de fonctionnement</w:t>
      </w:r>
    </w:p>
    <w:p>
      <w:pPr/>
      <w:r>
        <w:rPr>
          <w:rStyle w:val="font_h1"/>
        </w:rPr>
        <w:t xml:space="preserve">3. Description des éléments constitutifs</w:t>
      </w:r>
    </w:p>
    <w:p>
      <w:pPr/>
      <w:r>
        <w:rPr>
          <w:rStyle w:val="font_h1"/>
        </w:rPr>
        <w:t xml:space="preserve">4. Description de la méthode de calcul</w:t>
      </w:r>
    </w:p>
    <w:p>
      <w:pPr/>
      <w:r>
        <w:rPr>
          <w:rStyle w:val="font_h1"/>
        </w:rPr>
        <w:t xml:space="preserve">5. Mise en oeuvre</w:t>
      </w:r>
    </w:p>
    <w:p>
      <w:pPr>
        <w:ind w:left="720" w:right="0"/>
      </w:pPr>
      <w:r>
        <w:rPr>
          <w:rStyle w:val="font_h2"/>
        </w:rPr>
        <w:t xml:space="preserve">5.1. Raccordement au revêtement d'étanchéité</w:t>
      </w:r>
    </w:p>
    <w:p>
      <w:pPr/>
      <w:r>
        <w:rPr/>
        <w:t xml:space="preserve">Validé par le Groupe Spécialisé le 27/02/2017</w:t>
      </w:r>
    </w:p>
    <w:p>
      <w:pPr/>
      <w:r>
        <w:rPr>
          <w:b/>
          <w:bCs/>
        </w:rPr>
        <w:t xml:space="preserve">Description</w:t>
      </w:r>
    </w:p>
    <w:p>
      <w:pPr/>
      <w:r>
        <w:rPr/>
        <w:t xml:space="preserve">JURISPRUDENCE : Afin de s'assurer de la compatibilité entre les naissances et les membranes d'étanchéité synthétiques autres qu'à base de PVC-P, les essais d'étanchéité à l'eau selon la norme NF EN 1253 devront être réalisés au cas par cas. Le dossier technique doit ainsi nommer les membranes d'étanchéité synthétiques à base TPO/FPO ou EVAC compatibles.</w:t>
      </w:r>
    </w:p>
    <w:p>
      <w:pPr/>
      <w:r>
        <w:rPr>
          <w:rStyle w:val="font_h1"/>
        </w:rPr>
        <w:t xml:space="preserve">6. Fin du réseau siphoïde</w:t>
      </w:r>
    </w:p>
    <w:p>
      <w:pPr/>
      <w:r>
        <w:rPr>
          <w:rStyle w:val="font_h1"/>
        </w:rPr>
        <w:t xml:space="preserve">7. Fabrication et contrôle des produits</w:t>
      </w:r>
    </w:p>
    <w:p>
      <w:pPr/>
      <w:r>
        <w:rPr>
          <w:rStyle w:val="font_h1"/>
        </w:rPr>
        <w:t xml:space="preserve">8. Identification des éléments de marquage</w:t>
      </w:r>
    </w:p>
    <w:p>
      <w:pPr/>
      <w:r>
        <w:rPr>
          <w:rStyle w:val="font_h1"/>
        </w:rPr>
        <w:t xml:space="preserve">9.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10. Résultats expérimentaux</w:t>
      </w:r>
    </w:p>
    <w:p>
      <w:pPr>
        <w:ind w:left="720" w:right="0"/>
      </w:pPr>
      <w:r>
        <w:rPr>
          <w:rStyle w:val="font_h2"/>
        </w:rPr>
        <w:t xml:space="preserve">10.1.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11. Tableaux et figures</w:t>
      </w:r>
    </w:p>
    <w:p>
      <w:pPr>
        <w:ind w:left="720" w:right="0"/>
      </w:pPr>
      <w:r>
        <w:rPr>
          <w:rStyle w:val="font_h2"/>
        </w:rPr>
        <w:t xml:space="preserve">11.1.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2026-05-21T18:31:01+02:00</dcterms:created>
  <dcterms:modified xsi:type="dcterms:W3CDTF">2026-05-21T18:31:01+02:00</dcterms:modified>
</cp:coreProperties>
</file>

<file path=docProps/custom.xml><?xml version="1.0" encoding="utf-8"?>
<Properties xmlns="http://schemas.openxmlformats.org/officeDocument/2006/custom-properties" xmlns:vt="http://schemas.openxmlformats.org/officeDocument/2006/docPropsVTypes"/>
</file>