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hygroréglable et chauffe-eau thermodynamique sur air extrait</w:t>
      </w:r>
    </w:p>
    <w:p>
      <w:pPr/>
      <w:r>
        <w:rPr>
          <w:rStyle w:val="font_h1"/>
        </w:rPr>
        <w:t xml:space="preserve">1. Principe</w:t>
      </w:r>
    </w:p>
    <w:p>
      <w:pPr/>
      <w:r>
        <w:rPr/>
        <w:t xml:space="preserve">Validé par le Groupe Spécialisé le 01/07/2025</w:t>
      </w:r>
    </w:p>
    <w:p>
      <w:pPr/>
      <w:r>
        <w:rPr>
          <w:b/>
          <w:bCs/>
        </w:rPr>
        <w:t xml:space="preserve">Description</w:t>
      </w:r>
    </w:p>
    <w:p>
      <w:pPr/>
      <w:r>
        <w:rPr/>
        <w:t xml:space="preserve">Le présent document est applicable dans le cadre d’une demande d’Avis Technique relative à un système de ventilation mécanique contrôlée (VMC) simple flux hygroréglable visé dans les Cahier des Prescriptions Techniques communes « Systèmes de ventilation mécanique contrôlée simple flux hygroréglable » (e-cahier du CSTB n° 3827_V1 et 3828_V1) approuvés par le Groupe Spécialisé le 18 juin 2024.</w:t>
      </w:r>
    </w:p>
    <w:p>
      <w:pPr/>
      <w:r>
        <w:rPr>
          <w:vertAlign w:val="superscript"/>
        </w:rPr>
        <w:t xml:space="preserve">(1)</w:t>
      </w:r>
      <w:r>
        <w:rPr/>
        <w:t xml:space="preserve"> : Les CPT sont publiés sur le site internet de la CCFAT sous le lien suivant : </w:t>
      </w:r>
      <w:hyperlink r:id="rId7" w:history="1">
        <w:r>
          <w:rPr/>
          <w:t xml:space="preserve">https://www.ccfat.fr/produits-procedes/famille/697/</w:t>
        </w:r>
      </w:hyperlink>
      <w:r>
        <w:rPr/>
        <w:t xml:space="preserve">.</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01/07/2025</w:t>
      </w:r>
    </w:p>
    <w:p>
      <w:pPr/>
      <w:r>
        <w:rPr>
          <w:b/>
          <w:bCs/>
        </w:rPr>
        <w:t xml:space="preserve">Description</w:t>
      </w:r>
    </w:p>
    <w:p>
      <w:pPr/>
      <w:r>
        <w:rPr/>
        <w:t xml:space="preserve">Le présent document n’est valable que pour un système de VMC simple flux hygroréglable (objet d’une demande d’Avis Technique) </w:t>
      </w:r>
      <w:r>
        <w:rPr>
          <w:b/>
          <w:bCs/>
        </w:rPr>
        <w:t xml:space="preserve">mis en œuvre dans des logements d’habitation, en habitat individuel ou collectif, pour lesquels la cuisine peut être fermée (pièce indépendante) ou ouverte sur le séjour (cuisine américaine)</w:t>
      </w:r>
      <w:r>
        <w:rPr/>
        <w:t xml:space="preserve">.On entend par « habitat individuel », une maison individuelle ou un appartement traité par un système de ventilation individuel.</w:t>
      </w:r>
    </w:p>
    <w:p>
      <w:pPr/>
      <w:r>
        <w:rPr>
          <w:i/>
          <w:iCs/>
        </w:rPr>
        <w:t xml:space="preserve">NOTE 1 : Le présent document n’est pas applicable à une demande d’Avis Technique relative à un système de VMC simple flux hygroréglable installé dans une chambre d’hôtel. Ce cas fait l’objet de modalités d’instruction spécifiques et d’une autre famille d’Avis Technique.</w:t>
      </w:r>
    </w:p>
    <w:p>
      <w:pPr/>
      <w:r>
        <w:rPr>
          <w:i/>
          <w:iCs/>
        </w:rPr>
        <w:t xml:space="preserve">NOTE 2 : Les Avis Techniques ne visent pas un système pour lequel un local poubelle est raccordé à l’installation.</w:t>
      </w:r>
    </w:p>
    <w:p>
      <w:pPr/>
      <w:r>
        <w:rPr>
          <w:i/>
          <w:iCs/>
        </w:rPr>
        <w:t xml:space="preserve">NOTE 3: Les Avis Techniques ne visent pas, en habitat individuel, le cas d’une installation avec un chauffe-eau thermodynamique sur air extrait sans ventilateur raccordé à un groupe d’extraction.</w:t>
      </w:r>
    </w:p>
    <w:p>
      <w:pPr/>
      <w:r>
        <w:rPr/>
        <w:t xml:space="preserve">Les modes de chauffage et de production d’eau chaude sanitaire compatibles avec le système de VMC simple flux hygroréglable sont définis dans les CPT 3827_V1 et 3828_V1</w:t>
      </w:r>
      <w:r>
        <w:rPr>
          <w:vertAlign w:val="superscript"/>
        </w:rPr>
        <w:t xml:space="preserve">(1)</w:t>
      </w:r>
      <w:r>
        <w:rPr/>
        <w:t xml:space="preserve">.</w:t>
      </w:r>
    </w:p>
    <w:p>
      <w:pPr/>
      <w:r>
        <w:rPr/>
        <w:t xml:space="preserve">Tel que prévu dans les CPT 3827_V1 et 3828_V1, le présent document est applicable pour des travaux effectués :</w:t>
      </w:r>
    </w:p>
    <w:p>
      <w:pPr>
        <w:pPr/>
        <w:numPr>
          <w:ilvl w:val="0"/>
          <w:numId w:val="9"/>
        </w:numPr>
      </w:pPr>
      <w:r>
        <w:rPr/>
        <w:t xml:space="preserve">dans des bâtiments neufs objets de l'arrêté du 4 août 2021 modifié relatif aux exigences de performance énergétique et environnementale des constructions de bâtiments en France métropolitaine et portant approbation de la méthode de calcul prévue à l'article R. 172-6 du code de la construction et l'habitation, </w:t>
      </w:r>
    </w:p>
    <w:p>
      <w:pPr>
        <w:pPr/>
        <w:numPr>
          <w:ilvl w:val="0"/>
          <w:numId w:val="9"/>
        </w:numPr>
      </w:pPr>
      <w:r>
        <w:rPr/>
        <w:t xml:space="preserve">dans des bâtiments existants soumis à l'arrêté du 3 mai 2007 modifié relatif aux caractéristiques thermiques et à la performance énergétique des bâtiments existants ou à l'arrêté du 13 juin 2008 relatif à la performance énergétique des bâtiments existants de surface supérieure à 1000 mètres carrés, lorsqu’ils font l’objet de travaux de rénovation importants.</w:t>
      </w:r>
    </w:p>
    <w:p>
      <w:pPr/>
      <w:r>
        <w:rPr>
          <w:i/>
          <w:iCs/>
        </w:rPr>
        <w:t xml:space="preserve">NOTE : Le présent document est applicable dans le cadre d’une installation neuve de ventilation (c’est-à-dire pour laquelle le réseau de ventilation est entièrement neuf) ou en cas de réutilisation de conduits circulaires métalliques, dans les conditions prévues dans le CPT 3827_V1, dans le cadre de travaux exécutés dans les bâtiments d'habitation collective (le présent document n'est pas applicable dans tout autre cas de réutilisation de conduits).</w:t>
      </w:r>
    </w:p>
    <w:p>
      <w:pPr/>
      <w:r>
        <w:rPr>
          <w:vertAlign w:val="superscript"/>
        </w:rPr>
        <w:t xml:space="preserve">(1)</w:t>
      </w:r>
      <w:r>
        <w:rPr/>
        <w:t xml:space="preserve"> : Les CPT 3827_V1 et 3828_V1 sont publiés sur le site internet de la CCFAT sous le lien suivant : </w:t>
      </w:r>
      <w:hyperlink r:id="rId7" w:history="1">
        <w:r>
          <w:rPr/>
          <w:t xml:space="preserve">https://www.ccfat.fr/produits-procedes/famille/697/</w:t>
        </w:r>
      </w:hyperlink>
      <w:r>
        <w:rPr/>
        <w:t xml:space="preserve">.</w:t>
      </w:r>
    </w:p>
    <w:p>
      <w:pPr>
        <w:ind w:left="720" w:right="0"/>
      </w:pPr>
      <w:r>
        <w:rPr>
          <w:rStyle w:val="font_h2"/>
        </w:rPr>
        <w:t xml:space="preserve">2.2. Définition du domaine d'emploi revendiqué</w:t>
      </w:r>
    </w:p>
    <w:p>
      <w:pPr/>
      <w:r>
        <w:rPr/>
        <w:t xml:space="preserve">Validé par le Groupe Spécialisé le 10/07/2023</w:t>
      </w:r>
    </w:p>
    <w:p>
      <w:pPr/>
      <w:r>
        <w:rPr>
          <w:b/>
          <w:bCs/>
        </w:rPr>
        <w:t xml:space="preserve">Description</w:t>
      </w:r>
    </w:p>
    <w:p>
      <w:pPr/>
      <w:r>
        <w:rPr/>
        <w:t xml:space="preserve">Définition du domaine d’emploi revendiqué :</w:t>
      </w:r>
    </w:p>
    <w:p>
      <w:pPr>
        <w:pPr/>
        <w:numPr>
          <w:ilvl w:val="0"/>
          <w:numId w:val="10"/>
        </w:numPr>
      </w:pPr>
      <w:r>
        <w:rPr/>
        <w:t xml:space="preserve">Type(s) de bâtiment : maisons individuelles et/ou bâtiments collectifs et/ou bâtiments collectifs avec appartements traités individuellement</w:t>
      </w:r>
    </w:p>
    <w:p>
      <w:pPr>
        <w:pPr/>
        <w:numPr>
          <w:ilvl w:val="1"/>
          <w:numId w:val="10"/>
        </w:numPr>
      </w:pPr>
      <w:r>
        <w:rPr/>
        <w:t xml:space="preserve">Les cas de la maison individuelle et des bâtiments collectifs ne peuvent pas être traités dans un même Avis Technique ; ils   sont donc à traiter dans des Avis Techniques différents.</w:t>
      </w:r>
    </w:p>
    <w:p>
      <w:pPr>
        <w:pPr/>
        <w:numPr>
          <w:ilvl w:val="1"/>
          <w:numId w:val="10"/>
        </w:numPr>
      </w:pPr>
      <w:r>
        <w:rPr/>
        <w:t xml:space="preserve">Le cas échéant, le cas d’un appartement traité individuellement doit être abordé dans l’Avis Technique relatif à la « maison individuelle ».</w:t>
      </w:r>
    </w:p>
    <w:p>
      <w:pPr>
        <w:pPr/>
        <w:numPr>
          <w:ilvl w:val="0"/>
          <w:numId w:val="10"/>
        </w:numPr>
      </w:pPr>
      <w:r>
        <w:rPr/>
        <w:t xml:space="preserve">Type(s) de travaux : bâtiments neufs et/ou cas de rénovation visés au domaine d’application ; le cas échéant, préciser le type de conduits pouvant être réutilisés.</w:t>
      </w:r>
    </w:p>
    <w:p>
      <w:pPr/>
      <w:r>
        <w:rPr>
          <w:rStyle w:val="font_h1"/>
        </w:rPr>
        <w:t xml:space="preserve">3. Description des composants</w:t>
      </w:r>
    </w:p>
    <w:p>
      <w:pPr>
        <w:ind w:left="720" w:right="0"/>
      </w:pPr>
      <w:r>
        <w:rPr>
          <w:rStyle w:val="font_h2"/>
        </w:rPr>
        <w:t xml:space="preserve">3.1. Entrées d'air et bouches d'extraction</w:t>
      </w:r>
    </w:p>
    <w:p>
      <w:pPr/>
      <w:r>
        <w:rPr/>
        <w:t xml:space="preserve">Validé par le Groupe Spécialisé le 01/07/2025</w:t>
      </w:r>
    </w:p>
    <w:p>
      <w:pPr/>
      <w:r>
        <w:rPr>
          <w:b/>
          <w:bCs/>
        </w:rPr>
        <w:t xml:space="preserve">Description</w:t>
      </w:r>
    </w:p>
    <w:p>
      <w:pPr/>
      <w:r>
        <w:rPr/>
        <w:t xml:space="preserve">Description des composants du système :</w:t>
      </w:r>
    </w:p>
    <w:p>
      <w:pPr/>
      <w:r>
        <w:rPr/>
        <w:t xml:space="preserve">Caractéristiques aérauliques et acoustiques selon le code d’essais aérauliques et acoustiques des composants des systèmes de ventilation hygroréglable (référencé « GS14V/ESSAIS-HYG »), en vigueur, disponible sur le site de internet de la CCFAT (</w:t>
      </w:r>
      <w:hyperlink r:id="rId8" w:history="1">
        <w:r>
          <w:rPr/>
          <w:t xml:space="preserve">http://www.ccfat.fr/groupe-specialise/14-5/</w:t>
        </w:r>
      </w:hyperlink>
      <w:r>
        <w:rPr/>
        <w:t xml:space="preserve">) :</w:t>
      </w:r>
    </w:p>
    <w:p>
      <w:pPr>
        <w:pPr/>
        <w:numPr>
          <w:ilvl w:val="0"/>
          <w:numId w:val="11"/>
        </w:numPr>
      </w:pPr>
      <w:r>
        <w:rPr/>
        <w:t xml:space="preserve">de toutes les entrées d’air (avec et sans leurs éventuels accessoires acoustiques) établies dans un laboratoire indépendant</w:t>
      </w:r>
    </w:p>
    <w:p>
      <w:pPr>
        <w:pPr/>
        <w:numPr>
          <w:ilvl w:val="0"/>
          <w:numId w:val="11"/>
        </w:numPr>
      </w:pPr>
      <w:r>
        <w:rPr/>
        <w:t xml:space="preserve">de toutes les bouches d’extraction (avec et sans leurs éventuels accessoires acoustiques), établies dans un laboratoire indépendant, en précisant la plage de pression de fonctionnement de ces bouches d’extraction</w:t>
      </w:r>
    </w:p>
    <w:p>
      <w:pPr/>
      <w:r>
        <w:rPr/>
        <w:t xml:space="preserve">NOTE : toute association entre une entrée d’air (ou une bouche d’extraction) et un accessoire acoustique définie dans l’Avis Technique ne doit pas nécessairement faire l’objet d’un essai d’amission aéraulique et acoustique. Pour les entrées d’air et les bouches d’extraction, les essais d’admission en laboratoire indépendant sont à réaliser sur au moins 33%, jugés représentatif, des configurations (aérauliques et acoustiques) constituées par l’ensemble des produits définis dans les deux Avis Techniques (« maison individuelle » et « bâtiment collectif »). Cette exigence s’applique quelle que soit la technologie.</w:t>
      </w:r>
    </w:p>
    <w:p>
      <w:pPr>
        <w:ind w:left="720" w:right="0"/>
      </w:pPr>
      <w:r>
        <w:rPr>
          <w:rStyle w:val="font_h2"/>
        </w:rPr>
        <w:t xml:space="preserve">3.2. Groupes d'extraction</w:t>
      </w:r>
    </w:p>
    <w:p>
      <w:pPr>
        <w:ind w:left="1440" w:right="0"/>
      </w:pPr>
      <w:r>
        <w:rPr>
          <w:rStyle w:val="font_h3"/>
        </w:rPr>
        <w:t xml:space="preserve">3.2.1. Groupes d'extraction pour « bâtiment collectif »</w:t>
      </w:r>
    </w:p>
    <w:p>
      <w:pPr/>
      <w:r>
        <w:rPr/>
        <w:t xml:space="preserve">Validé par le Groupe Spécialisé le 01/07/2025</w:t>
      </w:r>
    </w:p>
    <w:p>
      <w:pPr/>
      <w:r>
        <w:rPr>
          <w:b/>
          <w:bCs/>
        </w:rPr>
        <w:t xml:space="preserve">Description</w:t>
      </w:r>
    </w:p>
    <w:p>
      <w:pPr>
        <w:pPr/>
        <w:numPr>
          <w:ilvl w:val="0"/>
          <w:numId w:val="12"/>
        </w:numPr>
      </w:pPr>
      <w:r>
        <w:rPr/>
        <w:t xml:space="preserve">type de groupe d’extraction : non régulé (vitesse de rotation constante pour un réglage donné) ou régulé (à courbe aéraulique « plate », « montante » ou « discontinue ») ; nombre de réglages</w:t>
      </w:r>
    </w:p>
    <w:p>
      <w:pPr>
        <w:pPr/>
        <w:numPr>
          <w:ilvl w:val="1"/>
          <w:numId w:val="12"/>
        </w:numPr>
      </w:pPr>
      <w:r>
        <w:rPr/>
        <w:t xml:space="preserve">localisation de l’éventuelle régulation en pression (rejet, aspiration, déportée)</w:t>
      </w:r>
    </w:p>
    <w:p>
      <w:pPr>
        <w:pPr/>
        <w:numPr>
          <w:ilvl w:val="2"/>
          <w:numId w:val="12"/>
        </w:numPr>
      </w:pPr>
      <w:r>
        <w:rPr/>
        <w:t xml:space="preserve">Pour tout groupe d’extraction (ou tourelle d’extraction) possédant plusieurs prises de pression, la position de ces prises de pression doit être décrite et détaillée dans le Dossier Technique.</w:t>
      </w:r>
    </w:p>
    <w:p>
      <w:pPr>
        <w:pPr/>
        <w:numPr>
          <w:ilvl w:val="2"/>
          <w:numId w:val="12"/>
        </w:numPr>
      </w:pPr>
      <w:r>
        <w:rPr/>
        <w:t xml:space="preserve">Si ces prises de pression ne sont pas sur les piquages de raccordement, le groupe d’extraction (ou tourelle d’extraction) doit réguler par rapport à la valeur la plus pénalisante. Une régulation basée sur la valeur moyenne (des diverses prises de pression) n’est pas acceptée. </w:t>
      </w:r>
    </w:p>
    <w:p>
      <w:pPr>
        <w:pPr/>
        <w:numPr>
          <w:ilvl w:val="0"/>
          <w:numId w:val="12"/>
        </w:numPr>
      </w:pPr>
      <w:r>
        <w:rPr/>
        <w:t xml:space="preserve">type de rejet (vertical, horizontal, devant être gainé systématiquement ou non, pouvant être libre)</w:t>
      </w:r>
    </w:p>
    <w:p>
      <w:pPr>
        <w:pPr/>
        <w:numPr>
          <w:ilvl w:val="0"/>
          <w:numId w:val="12"/>
        </w:numPr>
      </w:pPr>
      <w:r>
        <w:rPr/>
        <w:t xml:space="preserve">caractéristiques débit/pression et débit/puissance (pouvant être établies dans le laboratoire du fabricant) selon les dispositions de l’ANNEXE A du document GS14V/VMC-SF-HYGRO/Annexes en vigueur présent sur le site de la CCFAT (lien suivant : </w:t>
      </w:r>
      <w:hyperlink r:id="rId9" w:history="1">
        <w:r>
          <w:rPr/>
          <w:t xml:space="preserve">http://www.ccfat.fr/gestion/family/detail/697</w:t>
        </w:r>
      </w:hyperlink>
      <w:r>
        <w:rPr/>
        <w:t xml:space="preserve">); les courbes débit/pression doivent présenter la valeur de la pression statique du groupe d’extraction « pfs » (en Pa) selon la norme ISO 5801 et être établies :</w:t>
      </w:r>
    </w:p>
    <w:p>
      <w:pPr>
        <w:pPr/>
        <w:numPr>
          <w:ilvl w:val="1"/>
          <w:numId w:val="12"/>
        </w:numPr>
      </w:pPr>
      <w:r>
        <w:rPr/>
        <w:t xml:space="preserve">avec un montage de catégorie C (selon la norme ISO 5801) si le rejet peut être libre </w:t>
      </w:r>
    </w:p>
    <w:p>
      <w:pPr>
        <w:pPr/>
        <w:numPr>
          <w:ilvl w:val="1"/>
          <w:numId w:val="12"/>
        </w:numPr>
      </w:pPr>
      <w:r>
        <w:rPr/>
        <w:t xml:space="preserve">avec un montage de catégorie D ou C avec conduit de simulation (selon la norme ISO 5801) si le rejet doit être gainé systématiquement</w:t>
      </w:r>
    </w:p>
    <w:p>
      <w:pPr>
        <w:pPr/>
        <w:numPr>
          <w:ilvl w:val="1"/>
          <w:numId w:val="12"/>
        </w:numPr>
      </w:pPr>
      <w:r>
        <w:rPr/>
        <w:t xml:space="preserve">NOTE : « pfs » est égale à la différence entre la différence de pression totale et la pression   dynamique au refoulement</w:t>
      </w:r>
    </w:p>
    <w:p>
      <w:pPr>
        <w:pPr/>
        <w:numPr>
          <w:ilvl w:val="1"/>
          <w:numId w:val="12"/>
        </w:numPr>
      </w:pPr>
      <w:r>
        <w:rPr/>
        <w:t xml:space="preserve">la courbe débit/pression du réglage minimal défini dans le Dossier Technique doit présenter un débit maximal d’utilisation supérieur ou égal à 210 m3/h.</w:t>
      </w:r>
    </w:p>
    <w:p>
      <w:pPr>
        <w:pPr/>
        <w:numPr>
          <w:ilvl w:val="1"/>
          <w:numId w:val="12"/>
        </w:numPr>
      </w:pPr>
      <w:r>
        <w:rPr/>
        <w:t xml:space="preserve">Sauf justification liée à la technologie, justifier (à l’aide d’un fichier de type « Excel » ou équivalent) le respect des lois de similitude des ventilateurs.</w:t>
      </w:r>
    </w:p>
    <w:p>
      <w:pPr/>
      <w:r>
        <w:rPr/>
        <w:t xml:space="preserve">Pour les groupes d'extraction collectifs permettant de revendiquer un Cdep3-COLL (coefficient de dépassement d'un groupe d'extraction régulée à courbe montante ou discontinue ou avec un asservissement ou une régulation spécifique), un rapport d'étude établi selon le document "calcul du coefficient de dépassement" doit être établi. Ce rapport doit indiquer explicitement le nom des gammes couvertes.</w:t>
      </w:r>
    </w:p>
    <w:p>
      <w:pPr/>
      <w:r>
        <w:rPr/>
        <w:t xml:space="preserve">Justification du respect des garde-fous pour les groupes d’extraction autres qu’à courbe descendante ou plate (en d’autres termes, composants à courbe montante ou discontinue) conformément à l’ANNEXE B du document GS14V/VMC-SF-HYGRO/Annexes en vigueur présentant sur le site de la CCFAT (lien suivant : </w:t>
      </w:r>
      <w:hyperlink r:id="rId9" w:history="1">
        <w:r>
          <w:rPr/>
          <w:t xml:space="preserve">http://www.ccfat.fr/gestion/family/detail/697</w:t>
        </w:r>
      </w:hyperlink>
      <w:r>
        <w:rPr/>
        <w:t xml:space="preserve">)</w:t>
      </w:r>
    </w:p>
    <w:p>
      <w:pPr>
        <w:ind w:left="1440" w:right="0"/>
      </w:pPr>
      <w:r>
        <w:rPr>
          <w:rStyle w:val="font_h3"/>
        </w:rPr>
        <w:t xml:space="preserve">3.2.2. Caractéristiques techniques des groupes d’extraction pour « maison individuelle »</w:t>
      </w:r>
    </w:p>
    <w:p>
      <w:pPr>
        <w:ind w:left="2160" w:right="0"/>
      </w:pPr>
      <w:r>
        <w:rPr>
          <w:rStyle w:val="font_h3"/>
        </w:rPr>
        <w:t xml:space="preserve">3.2.2.1. Généralités</w:t>
      </w:r>
    </w:p>
    <w:p>
      <w:pPr/>
      <w:r>
        <w:rPr/>
        <w:t xml:space="preserve">Validé par le Groupe Spécialisé le 01/07/2025</w:t>
      </w:r>
    </w:p>
    <w:p>
      <w:pPr/>
      <w:r>
        <w:rPr>
          <w:b/>
          <w:bCs/>
        </w:rPr>
        <w:t xml:space="preserve">Description</w:t>
      </w:r>
    </w:p>
    <w:p>
      <w:pPr/>
      <w:r>
        <w:rPr/>
        <w:t xml:space="preserve">Décrire :</w:t>
      </w:r>
    </w:p>
    <w:p>
      <w:pPr>
        <w:pPr/>
        <w:numPr>
          <w:ilvl w:val="0"/>
          <w:numId w:val="13"/>
        </w:numPr>
      </w:pPr>
      <w:r>
        <w:rPr/>
        <w:t xml:space="preserve">type de motorisation, type de régulation, nombre de vitesses, position du capteur </w:t>
      </w:r>
    </w:p>
    <w:p>
      <w:pPr>
        <w:pPr/>
        <w:numPr>
          <w:ilvl w:val="0"/>
          <w:numId w:val="13"/>
        </w:numPr>
      </w:pPr>
      <w:r>
        <w:rPr/>
        <w:t xml:space="preserve">nombre de piquages sanitaires et diamètre du rejet</w:t>
      </w:r>
    </w:p>
    <w:p>
      <w:pPr>
        <w:pPr/>
        <w:numPr>
          <w:ilvl w:val="0"/>
          <w:numId w:val="13"/>
        </w:numPr>
      </w:pPr>
      <w:r>
        <w:rPr/>
        <w:t xml:space="preserve">classe du filtre éventuel (par exemple dans le cas d’un groupe d’extraction intégré à un chauffe-eau thermodynamique sur air extrait) : attestation du fabricant ou rapport d’essais selon la norme NF EN ISO 16890 </w:t>
      </w:r>
    </w:p>
    <w:p>
      <w:pPr/>
      <w:r>
        <w:rPr/>
        <w:t xml:space="preserve">Pour tout groupe d’extraction destiné à être implanté en maison individuelle y compris s’il est intégré à un chauffe-eau thermodynamique sur air extrait ou s’il possède plusieurs « réglages » (dans le présent document, un « réglage » correspond à une courbe débit/pression pour laquelle la vitesse de rotation du moteur peut être constante ou variable) : </w:t>
      </w:r>
    </w:p>
    <w:p>
      <w:pPr>
        <w:pPr/>
        <w:numPr>
          <w:ilvl w:val="0"/>
          <w:numId w:val="14"/>
        </w:numPr>
      </w:pPr>
      <w:r>
        <w:rPr/>
        <w:t xml:space="preserve">détermination du domaine d’application du composant conformément aux dispositions du paragraphe 2.4.2 du CPT 3828_V1 </w:t>
      </w:r>
    </w:p>
    <w:p>
      <w:pPr>
        <w:pPr/>
        <w:numPr>
          <w:ilvl w:val="0"/>
          <w:numId w:val="14"/>
        </w:numPr>
      </w:pPr>
      <w:r>
        <w:rPr/>
        <w:t xml:space="preserve">NOTE : sauf dispositions spécifiques définies dans l’Avis Technique, le nombre de piquages « sanitaires » disponibles sur le groupe d’extraction ne doit pas être supérieur au nombre maximal de sanitaires raccordables indiqué dans l’Avis Technique</w:t>
      </w:r>
    </w:p>
    <w:p>
      <w:pPr>
        <w:pPr/>
        <w:numPr>
          <w:ilvl w:val="0"/>
          <w:numId w:val="14"/>
        </w:numPr>
      </w:pPr>
      <w:r>
        <w:rPr/>
        <w:t xml:space="preserve">dans le cas où le composant est muni d’un filtre, vérification du fait que ce domaine d’emploi n’est pas impacté par les essais complémentaires relatifs à la simulation de l’encrassement du filtre prévus dans le code d’essais « GS14V/ESSAIS-HYG » en vigueur</w:t>
      </w:r>
    </w:p>
    <w:p>
      <w:pPr>
        <w:pPr/>
        <w:numPr>
          <w:ilvl w:val="0"/>
          <w:numId w:val="14"/>
        </w:numPr>
      </w:pPr>
      <w:r>
        <w:rPr/>
        <w:t xml:space="preserve">justification du fait que les éventuels réglages non visés dans l’Avis Technique sont physiquement inaccessibles à l’installateur</w:t>
      </w:r>
    </w:p>
    <w:p>
      <w:pPr>
        <w:pPr/>
        <w:numPr>
          <w:ilvl w:val="0"/>
          <w:numId w:val="14"/>
        </w:numPr>
      </w:pPr>
      <w:r>
        <w:rPr/>
        <w:t xml:space="preserve">vérification que le niveau de puissance acoustique à la bouche cuisine établie selon le code d’essais « GS14V/ESSAIS-HYG » en vigueur est inférieur ou égal à 38 dB(A ).</w:t>
      </w:r>
    </w:p>
    <w:p>
      <w:pPr>
        <w:pPr/>
        <w:numPr>
          <w:ilvl w:val="0"/>
          <w:numId w:val="14"/>
        </w:numPr>
      </w:pPr>
      <w:r>
        <w:rPr/>
        <w:t xml:space="preserve">justification de la possibilité d’utiliser le composant pour des travaux visés par l’arrêté du 3 mai 2007 relatif aux caractéristiques thermiques et à la performance énergétique des bâtiments existants conformément à la règle suivante (issue de l’article 36 de l’arrêté précité)</w:t>
      </w:r>
    </w:p>
    <w:p>
      <w:pPr>
        <w:ind w:left="2160" w:right="0"/>
      </w:pPr>
      <w:r>
        <w:rPr>
          <w:rStyle w:val="font_h3"/>
        </w:rPr>
        <w:t xml:space="preserve">3.2.2.2. Essais prévus dans le code d’essais « GS14/ESSAIS-HYG »</w:t>
      </w:r>
    </w:p>
    <w:p>
      <w:pPr/>
      <w:r>
        <w:rPr/>
        <w:t xml:space="preserve">Validé par le Groupe Spécialisé le 05/02/2026</w:t>
      </w:r>
    </w:p>
    <w:p>
      <w:pPr/>
      <w:r>
        <w:rPr>
          <w:b/>
          <w:bCs/>
        </w:rPr>
        <w:t xml:space="preserve">Description</w:t>
      </w:r>
    </w:p>
    <w:p>
      <w:pPr/>
      <w:r>
        <w:rPr/>
        <w:t xml:space="preserve">Résultats des essais prévus dans le code d’essais « GS14/ESSAIS-HYG » en vigueur dans un laboratoire indépendant si ce n’est que les essais aérauliques sont à réaliser par débits croissants et par débits décroissants quel que soit le produit pour les trois tensions d’alimentation 220 V, 230 V et 240 V.</w:t>
      </w:r>
    </w:p>
    <w:p>
      <w:pPr/>
      <w:r>
        <w:rPr/>
        <w:t xml:space="preserve">NOTE : Dans le cas où un prototype ferait l’objet des essais, la composition du produit testé devra être explicitement détaillée pour examiner sa représentativité par rapport au produit de série. Il conviendra à minima de fournir une vue éclatée distinguant les pièces imprimées en 3D de celles définitives.</w:t>
      </w:r>
    </w:p>
    <w:p>
      <w:pPr/>
      <w:r>
        <w:rPr/>
        <w:t xml:space="preserve">NOTE : Dans le cas des chauffe-eaux thermodynamique, les essais sont réalisés en mettant en place un orifice calibré et lors de la détermination du domaine d'emploi le composant rejet doit être enlevé des gabarits.</w:t>
      </w:r>
    </w:p>
    <w:p>
      <w:pPr/>
      <w:r>
        <w:rPr/>
        <w:t xml:space="preserve">NOTE : sauf dispositions spécifiques prévues dans l’Avis Technique, le nombre de piquages sanitaires raccordés lors des essais doit correspondre au nombre maximal de sanitaires raccordables indiqué dans l’Avis Technique.</w:t>
      </w:r>
    </w:p>
    <w:p>
      <w:pPr>
        <w:pPr/>
        <w:numPr>
          <w:ilvl w:val="0"/>
          <w:numId w:val="15"/>
        </w:numPr>
      </w:pPr>
      <w:r>
        <w:rPr/>
        <w:t xml:space="preserve">courbe(s) débit/pression (pression statique mesurée à l’entrée du groupe d’extraction) et essais aérauliques complémentaires si le composant est muni d’un filtre.</w:t>
      </w:r>
    </w:p>
    <w:p>
      <w:pPr>
        <w:pPr/>
        <w:numPr>
          <w:ilvl w:val="0"/>
          <w:numId w:val="15"/>
        </w:numPr>
      </w:pPr>
      <w:r>
        <w:rPr/>
        <w:t xml:space="preserve">courbe(s) débit/puissance </w:t>
      </w:r>
    </w:p>
    <w:p>
      <w:pPr>
        <w:pPr/>
        <w:numPr>
          <w:ilvl w:val="0"/>
          <w:numId w:val="15"/>
        </w:numPr>
      </w:pPr>
      <w:r>
        <w:rPr/>
        <w:t xml:space="preserve">caractéristique acoustique (niveau de puissance à la bouche cuisine de la configuration maximale visée) établie dans un laboratoire indépendant selon.</w:t>
      </w:r>
    </w:p>
    <w:p>
      <w:pPr/>
      <w:r>
        <w:rPr/>
        <w:t xml:space="preserve">Note : La courbe débit/pression des groupes d’extraction affichée pourra être pénalisée/dégradée par rapport à la courbe issue de l’essai, jusqu’à 5 Pa en appliquant la même valeur de dégradation sur toute la courbe.</w:t>
      </w:r>
    </w:p>
    <w:p>
      <w:pPr/>
      <w:r>
        <w:rPr/>
        <w:t xml:space="preserve">Les 6 courbes débit/pression obtenues doivent être comprises dans une enveloppe de +/- 5 Pa construite autour de la courbe à 230V par débits croissants jusqu’au débit maximal d’utilisation du composant . Ces résultats d’essais seront intégrés au rapport d’instruction. Ces résultats d’essais seront évalués au cas par cas en cas de non-respect de cette exigence.</w:t>
      </w:r>
    </w:p>
    <w:p>
      <w:pPr/>
      <w:r>
        <w:rPr/>
        <w:t xml:space="preserve">NOTE : Pour tout groupe d'extraction dont la courbe débit/pression présente un saut de vitesse supérieur à 10 m3/h (autrement dit : trou de 10 m3/h, c’est-à-dire absence de point de mesure débit/pression sur une plage de débit supérieure à 10 m3/h), alors le coefficient de dépassement « Cdep » du composant est pris forfaitairement égal à 1,25 pour l’intégralité du domaine d’emploi de l’Avis Technique .</w:t>
      </w:r>
    </w:p>
    <w:p>
      <w:pPr>
        <w:ind w:left="2160" w:right="0"/>
      </w:pPr>
      <w:r>
        <w:rPr>
          <w:rStyle w:val="font_h3"/>
        </w:rPr>
        <w:t xml:space="preserve">3.2.2.3. Compléments applicables en cas de remplacement d'un moto-ventilateur ou en cas de plusieurs fournisseurs (multi-sourcing)</w:t>
      </w:r>
    </w:p>
    <w:p>
      <w:pPr/>
      <w:r>
        <w:rPr/>
        <w:t xml:space="preserve">Validé par le Groupe Spécialisé le 01/07/2025</w:t>
      </w:r>
    </w:p>
    <w:p>
      <w:pPr/>
      <w:r>
        <w:rPr>
          <w:b/>
          <w:bCs/>
        </w:rPr>
        <w:t xml:space="preserve">Description</w:t>
      </w:r>
    </w:p>
    <w:p>
      <w:pPr/>
      <w:r>
        <w:rPr/>
        <w:t xml:space="preserve">Pour tout changement de moto-ventilateur ou de multi fournisseurs (multi-sourcing), les justifications doivent être les mêmes que celles prévues lors des essais d’admission à savoir :</w:t>
      </w:r>
    </w:p>
    <w:p>
      <w:pPr>
        <w:pPr/>
        <w:numPr>
          <w:ilvl w:val="0"/>
          <w:numId w:val="16"/>
        </w:numPr>
      </w:pPr>
      <w:r>
        <w:rPr/>
        <w:t xml:space="preserve">Essais en laboratoire indépendant (pour chaque MV le cas échéant) : aéraulique, puissance et acoustique :</w:t>
      </w:r>
    </w:p>
    <w:p>
      <w:pPr>
        <w:pPr/>
        <w:numPr>
          <w:ilvl w:val="1"/>
          <w:numId w:val="16"/>
        </w:numPr>
      </w:pPr>
      <w:r>
        <w:rPr/>
        <w:t xml:space="preserve">pour une tension d’alimentation de 230 V</w:t>
      </w:r>
    </w:p>
    <w:p>
      <w:pPr>
        <w:pPr/>
        <w:numPr>
          <w:ilvl w:val="1"/>
          <w:numId w:val="16"/>
        </w:numPr>
      </w:pPr>
      <w:r>
        <w:rPr/>
        <w:t xml:space="preserve">selon le code d’essais HYG en vigueur (essais aérauliques sont à réaliser par débits croissants et par débits décroissants )</w:t>
      </w:r>
    </w:p>
    <w:p>
      <w:pPr>
        <w:pPr/>
        <w:numPr>
          <w:ilvl w:val="0"/>
          <w:numId w:val="16"/>
        </w:numPr>
      </w:pPr>
      <w:r>
        <w:rPr/>
        <w:t xml:space="preserve">Fourniture d’essais internes réalisés :</w:t>
      </w:r>
    </w:p>
    <w:p>
      <w:pPr>
        <w:pPr/>
        <w:numPr>
          <w:ilvl w:val="1"/>
          <w:numId w:val="16"/>
        </w:numPr>
      </w:pPr>
      <w:r>
        <w:rPr/>
        <w:t xml:space="preserve">pour les trois tensions d’alimentation 220V, 230V et 240V</w:t>
      </w:r>
    </w:p>
    <w:p>
      <w:pPr>
        <w:pPr/>
        <w:numPr>
          <w:ilvl w:val="1"/>
          <w:numId w:val="16"/>
        </w:numPr>
      </w:pPr>
      <w:r>
        <w:rPr/>
        <w:t xml:space="preserve">et pour chacune d’entre elle, réaliser par débits croissants et par débits décroissants</w:t>
      </w:r>
    </w:p>
    <w:p>
      <w:pPr/>
      <w:r>
        <w:rPr/>
        <w:t xml:space="preserve">Note : la (les) consigne (s) de pression de fonctionnement et la (les) configuration (s) (mono ou multi piquage) à utiliser étant celles prévues à l’admission.</w:t>
      </w:r>
    </w:p>
    <w:p>
      <w:pPr/>
      <w:r>
        <w:rPr/>
        <w:t xml:space="preserve">Note : dans le cas d’un « multi-sourcing » les valeurs les plus contraignantes seront sélectionnées pour le Domaine d’Emploi et une moyenne des consommations réalisée entre les différents moto ventilateurs proposés.</w:t>
      </w:r>
    </w:p>
    <w:p>
      <w:pPr>
        <w:ind w:left="2160" w:right="0"/>
      </w:pPr>
      <w:r>
        <w:rPr>
          <w:rStyle w:val="font_h3"/>
        </w:rPr>
        <w:t xml:space="preserve">3.2.2.4. Spécificités liées à l’utilisation de dédoubleurs sur un piquage en diamètre 80 mm</w:t>
      </w:r>
    </w:p>
    <w:p>
      <w:pPr/>
      <w:r>
        <w:rPr/>
        <w:t xml:space="preserve">Validé par le Groupe Spécialisé le 01/07/2025</w:t>
      </w:r>
    </w:p>
    <w:p>
      <w:pPr/>
      <w:r>
        <w:rPr>
          <w:b/>
          <w:bCs/>
        </w:rPr>
        <w:t xml:space="preserve">Description</w:t>
      </w:r>
    </w:p>
    <w:p>
      <w:pPr/>
      <w:r>
        <w:rPr/>
        <w:t xml:space="preserve">Le raccordement de 2 pièces techniques autres que la cuisine sur un piquage en diamètre 80 mm du groupe d’extraction à l’aide d’un dédoubleur (raccord double) « 80_2x80 » est possible moyennant le respect des dispositions suivantes :</w:t>
      </w:r>
    </w:p>
    <w:p>
      <w:pPr>
        <w:pPr/>
        <w:numPr>
          <w:ilvl w:val="0"/>
          <w:numId w:val="17"/>
        </w:numPr>
      </w:pPr>
      <w:r>
        <w:rPr/>
        <w:t xml:space="preserve">2 dédoubleurs doivent être disponibles et présents dans le kit</w:t>
      </w:r>
    </w:p>
    <w:p>
      <w:pPr>
        <w:pPr/>
        <w:numPr>
          <w:ilvl w:val="0"/>
          <w:numId w:val="17"/>
        </w:numPr>
      </w:pPr>
      <w:r>
        <w:rPr/>
        <w:t xml:space="preserve">Prévoir une dénomination commerciale spécifique pour le dédoubleur</w:t>
      </w:r>
    </w:p>
    <w:p>
      <w:pPr>
        <w:pPr/>
        <w:numPr>
          <w:ilvl w:val="0"/>
          <w:numId w:val="17"/>
        </w:numPr>
      </w:pPr>
      <w:r>
        <w:rPr/>
        <w:t xml:space="preserve">Dédoubleurs non installés en série, ne devant pas être déportés</w:t>
      </w:r>
    </w:p>
    <w:p>
      <w:pPr>
        <w:pPr/>
        <w:numPr>
          <w:ilvl w:val="0"/>
          <w:numId w:val="17"/>
        </w:numPr>
      </w:pPr>
      <w:r>
        <w:rPr/>
        <w:t xml:space="preserve">Figures présentes sans dédoubleur, avec un dédoubleur et avec dédoubleurs</w:t>
      </w:r>
    </w:p>
    <w:p>
      <w:pPr>
        <w:pPr/>
        <w:numPr>
          <w:ilvl w:val="0"/>
          <w:numId w:val="17"/>
        </w:numPr>
      </w:pPr>
      <w:r>
        <w:rPr/>
        <w:t xml:space="preserve">Le suivi mis en place dans le cadre de la certification doit être réalisé sur un montage avec des positions des deux dédoubleurs différentes de celles de l’essai d’admission.</w:t>
      </w:r>
    </w:p>
    <w:p>
      <w:pPr>
        <w:ind w:left="1440" w:right="0"/>
      </w:pPr>
      <w:r>
        <w:rPr>
          <w:rStyle w:val="font_h3"/>
        </w:rPr>
        <w:t xml:space="preserve">3.2.3. Caractéristiques techniques des groupes d’extraction, utilisés pour la « maison individuelle », présents dans un Avis Technique de VMC simple flux hygroréglable dédié à l’habitat collectif</w:t>
      </w:r>
    </w:p>
    <w:p>
      <w:pPr/>
      <w:r>
        <w:rPr/>
        <w:t xml:space="preserve">Validé par le Groupe Spécialisé le 01/07/2025</w:t>
      </w:r>
    </w:p>
    <w:p>
      <w:pPr/>
      <w:r>
        <w:rPr>
          <w:b/>
          <w:bCs/>
        </w:rPr>
        <w:t xml:space="preserve">Description</w:t>
      </w:r>
    </w:p>
    <w:p>
      <w:pPr/>
      <w:r>
        <w:rPr/>
        <w:t xml:space="preserve">Pour un groupe d’extraction présent dans un Avis Technique de VMC simple flux hygroréglable dédié à l’habitat collectif :</w:t>
      </w:r>
    </w:p>
    <w:p>
      <w:pPr>
        <w:pPr/>
        <w:numPr>
          <w:ilvl w:val="0"/>
          <w:numId w:val="18"/>
        </w:numPr>
      </w:pPr>
      <w:r>
        <w:rPr/>
        <w:t xml:space="preserve">Fournir, pour chaque composant, une déclaration de conformité à la norme EN 60336-1</w:t>
      </w:r>
    </w:p>
    <w:p>
      <w:pPr>
        <w:pPr/>
        <w:numPr>
          <w:ilvl w:val="0"/>
          <w:numId w:val="18"/>
        </w:numPr>
      </w:pPr>
      <w:r>
        <w:rPr/>
        <w:t xml:space="preserve">Respecter les dispositions figurant dans le CPT 3828_V1</w:t>
      </w:r>
    </w:p>
    <w:p>
      <w:pPr>
        <w:ind w:left="720" w:right="0"/>
      </w:pPr>
      <w:r>
        <w:rPr>
          <w:rStyle w:val="font_h2"/>
        </w:rPr>
        <w:t xml:space="preserve">3.3. Compléments relatifs aux Chauffe-eaux thermodynamique sur air extrait</w:t>
      </w:r>
    </w:p>
    <w:p>
      <w:pPr/>
      <w:r>
        <w:rPr/>
        <w:t xml:space="preserve">Validé par le Groupe Spécialisé le 01/07/2025</w:t>
      </w:r>
    </w:p>
    <w:p>
      <w:pPr/>
      <w:r>
        <w:rPr>
          <w:b/>
          <w:bCs/>
        </w:rPr>
        <w:t xml:space="preserve">Description</w:t>
      </w:r>
    </w:p>
    <w:p>
      <w:pPr/>
      <w:r>
        <w:rPr/>
        <w:t xml:space="preserve">En complément des dispositions du § 3.2 :</w:t>
      </w:r>
    </w:p>
    <w:p>
      <w:pPr>
        <w:pPr/>
        <w:numPr>
          <w:ilvl w:val="0"/>
          <w:numId w:val="19"/>
        </w:numPr>
      </w:pPr>
      <w:r>
        <w:rPr/>
        <w:t xml:space="preserve">Pour tout chauffe-eau thermodynamique sur air extrait : certificat de la marque « NF ELECTRICITE PERFORMANCE » (à la date de publication du présent document, le périmètre d’évaluation, par le Groupe Spécialisé n° 14.5 « Ventilation et systèmes par vecteur air », d’un chauffe-eau thermodynamique sur air extrait est, par conséquent, restreint à la seule fonction « ventilation  »)</w:t>
      </w:r>
    </w:p>
    <w:p>
      <w:pPr>
        <w:pPr/>
        <w:numPr>
          <w:ilvl w:val="0"/>
          <w:numId w:val="19"/>
        </w:numPr>
      </w:pPr>
      <w:r>
        <w:rPr/>
        <w:t xml:space="preserve">Pour tout chauffe-eau thermodynamique destiné à être raccordé à une installation collective : </w:t>
      </w:r>
    </w:p>
    <w:p>
      <w:pPr>
        <w:pPr/>
        <w:numPr>
          <w:ilvl w:val="1"/>
          <w:numId w:val="19"/>
        </w:numPr>
      </w:pPr>
      <w:r>
        <w:rPr/>
        <w:t xml:space="preserve">courbe de perte de charge du chauffe-eau avec « filtre neuf » (des essais « fabricant » étant acceptés)</w:t>
      </w:r>
    </w:p>
    <w:p>
      <w:pPr>
        <w:pPr/>
        <w:numPr>
          <w:ilvl w:val="1"/>
          <w:numId w:val="19"/>
        </w:numPr>
      </w:pPr>
      <w:r>
        <w:rPr/>
        <w:t xml:space="preserve">courbe de perte de charge du filtre (des essais « fabricant » étant acceptés) majorée de 50% </w:t>
      </w:r>
    </w:p>
    <w:p>
      <w:pPr>
        <w:pPr/>
        <w:numPr>
          <w:ilvl w:val="1"/>
          <w:numId w:val="19"/>
        </w:numPr>
      </w:pPr>
      <w:r>
        <w:rPr/>
        <w:t xml:space="preserve">NOTE : Le demandeur pourra faire le choix d’afficher, dans l’Avis Technique, la somme de ces deux courbes.</w:t>
      </w:r>
    </w:p>
    <w:p>
      <w:pPr>
        <w:pPr/>
        <w:numPr>
          <w:ilvl w:val="1"/>
          <w:numId w:val="19"/>
        </w:numPr>
      </w:pPr>
      <w:r>
        <w:rPr/>
        <w:t xml:space="preserve">justification par calculs de l’impact de la perte de charge du chauffe-eau thermodynamique conformément à l’ANNEXE C du document GS14V/VMC-SF-HYGRO/Annexes en vigueur présentant sur le site de la CCFAT (lien suivant : </w:t>
      </w:r>
      <w:hyperlink r:id="rId9" w:history="1">
        <w:r>
          <w:rPr/>
          <w:t xml:space="preserve">http://www.ccfat.fr/gestion/family/detail/697</w:t>
        </w:r>
      </w:hyperlink>
      <w:r>
        <w:rPr/>
        <w:t xml:space="preserve">)</w:t>
      </w:r>
    </w:p>
    <w:p>
      <w:pPr>
        <w:pPr/>
        <w:numPr>
          <w:ilvl w:val="0"/>
          <w:numId w:val="19"/>
        </w:numPr>
      </w:pPr>
      <w:r>
        <w:rPr/>
        <w:t xml:space="preserve">Pour tout chauffe-eau thermodynamique destiné à l’habitat individuel : la courbe à considérer est prise égale à la somme de la pression statique mesurée au cours de l'essai (filtre propre) et la perte de charge du réseau de rejet définie dans le CPT</w:t>
      </w:r>
    </w:p>
    <w:p>
      <w:pPr>
        <w:ind w:left="720" w:right="0"/>
      </w:pPr>
      <w:r>
        <w:rPr>
          <w:rStyle w:val="font_h2"/>
        </w:rPr>
        <w:t xml:space="preserve">3.4. Autres composants</w:t>
      </w:r>
    </w:p>
    <w:p>
      <w:pPr/>
      <w:r>
        <w:rPr/>
        <w:t xml:space="preserve">Validé par le Groupe Spécialisé le 01/07/2025</w:t>
      </w:r>
    </w:p>
    <w:p>
      <w:pPr/>
      <w:r>
        <w:rPr>
          <w:b/>
          <w:bCs/>
        </w:rPr>
        <w:t xml:space="preserve">Description</w:t>
      </w:r>
    </w:p>
    <w:p>
      <w:pPr/>
      <w:r>
        <w:rPr/>
        <w:t xml:space="preserve">Caractéristiques techniques (le plus souvent : pertes de charge) des autres composants indispensables à la réalisation d’une installation (par exemple : trainasse, rejet, chauffe-eau thermodynamique raccordé à une installation collective,…)</w:t>
      </w:r>
    </w:p>
    <w:p>
      <w:pPr/>
      <w:r>
        <w:rPr/>
        <w:t xml:space="preserve">Sortie de toiture :</w:t>
      </w:r>
    </w:p>
    <w:p>
      <w:pPr>
        <w:pPr/>
        <w:numPr>
          <w:ilvl w:val="0"/>
          <w:numId w:val="20"/>
        </w:numPr>
      </w:pPr>
      <w:r>
        <w:rPr/>
        <w:t xml:space="preserve">En habitat individuel, la perte de charge de toute sortie de toiture doit être justifiée par un essai réalisé, dans un laboratoire indépendant, selon les dispositions de la norme NF EN 13141-5.</w:t>
      </w:r>
    </w:p>
    <w:p>
      <w:pPr>
        <w:pPr/>
        <w:numPr>
          <w:ilvl w:val="0"/>
          <w:numId w:val="20"/>
        </w:numPr>
      </w:pPr>
      <w:r>
        <w:rPr/>
        <w:t xml:space="preserve">En habitat collectif, les sorties de toitures ne doivent comporter aucun élément en matériau plastique (conformément à l'arrêté du 31 janvier 1986 modifié)</w:t>
      </w:r>
    </w:p>
    <w:p>
      <w:pPr>
        <w:ind w:left="720" w:right="0"/>
      </w:pPr>
      <w:r>
        <w:rPr>
          <w:rStyle w:val="font_h2"/>
        </w:rPr>
        <w:t xml:space="preserve">3.5. Justifications complémentaires</w:t>
      </w:r>
    </w:p>
    <w:p>
      <w:pPr>
        <w:ind w:left="1440" w:right="0"/>
      </w:pPr>
      <w:r>
        <w:rPr>
          <w:rStyle w:val="font_h3"/>
        </w:rPr>
        <w:t xml:space="preserve">3.5.1. Marquage CE</w:t>
      </w:r>
    </w:p>
    <w:p>
      <w:pPr/>
      <w:r>
        <w:rPr/>
        <w:t xml:space="preserve">Validé par le Groupe Spécialisé le 05/02/2019</w:t>
      </w:r>
    </w:p>
    <w:p>
      <w:pPr/>
      <w:r>
        <w:rPr>
          <w:b/>
          <w:bCs/>
        </w:rPr>
        <w:t xml:space="preserve">Description</w:t>
      </w:r>
    </w:p>
    <w:p>
      <w:pPr/>
      <w:r>
        <w:rPr/>
        <w:t xml:space="preserve">Pour tout produit marqué CE (Basse Tension, Compatibilité Electromagnétique, Ecoconception, Etiquetage énergétique,…) : déclaration (ou du certificat) de marquage CE.</w:t>
      </w:r>
    </w:p>
    <w:p>
      <w:pPr>
        <w:ind w:left="1440" w:right="0"/>
      </w:pPr>
      <w:r>
        <w:rPr>
          <w:rStyle w:val="font_h3"/>
        </w:rPr>
        <w:t xml:space="preserve">3.5.2. Sécurité en cas d'incendie</w:t>
      </w:r>
    </w:p>
    <w:p>
      <w:pPr/>
      <w:r>
        <w:rPr/>
        <w:t xml:space="preserve">Validé par le Groupe Spécialisé le 05/02/2019</w:t>
      </w:r>
    </w:p>
    <w:p>
      <w:pPr/>
      <w:r>
        <w:rPr>
          <w:b/>
          <w:bCs/>
        </w:rPr>
        <w:t xml:space="preserve">Description</w:t>
      </w:r>
    </w:p>
    <w:p>
      <w:pPr>
        <w:pPr/>
        <w:numPr>
          <w:ilvl w:val="0"/>
          <w:numId w:val="21"/>
        </w:numPr>
      </w:pPr>
      <w:r>
        <w:rPr/>
        <w:t xml:space="preserve">pour les bâtiments neufs : éléments de preuve permettant de justifier que le système ne fait pas obstacle au respect des exigences du titre IV de l’arrêté du 31 janvier 1986 modifié relatif à la protection contre l’incendie des bâtiments d’habitation</w:t>
      </w:r>
    </w:p>
    <w:p>
      <w:pPr>
        <w:pPr/>
        <w:numPr>
          <w:ilvl w:val="0"/>
          <w:numId w:val="21"/>
        </w:numPr>
      </w:pPr>
      <w:r>
        <w:rPr/>
        <w:t xml:space="preserve">pour les bâtiments existants (rénovation) : éléments de preuve permettant de justifier que le système ne modifie pas les caractéristiques des conduits existants vis-à-vis de la sécurité en cas d’incendie</w:t>
      </w:r>
    </w:p>
    <w:p>
      <w:pPr>
        <w:ind w:left="1440" w:right="0"/>
      </w:pPr>
      <w:r>
        <w:rPr>
          <w:rStyle w:val="font_h3"/>
        </w:rPr>
        <w:t xml:space="preserve">3.5.5. Données environnementales</w:t>
      </w:r>
    </w:p>
    <w:p>
      <w:pPr/>
      <w:r>
        <w:rPr/>
        <w:t xml:space="preserve">Validé par le Groupe Spécialisé le 05/02/2019</w:t>
      </w:r>
    </w:p>
    <w:p>
      <w:pPr/>
      <w:r>
        <w:rPr>
          <w:b/>
          <w:bCs/>
        </w:rPr>
        <w:t xml:space="preserve">Description</w:t>
      </w:r>
    </w:p>
    <w:p>
      <w:pPr/>
      <w:r>
        <w:rPr/>
        <w:t xml:space="preserve">Existence ou non d’une « Fiche de Données Environnementales et Sanitaire (FDES) » ou d’un « Profil Environnemental Produit (PEP) »</w:t>
      </w:r>
    </w:p>
    <w:p>
      <w:pPr/>
      <w:r>
        <w:rPr>
          <w:b/>
          <w:bCs/>
        </w:rPr>
        <w:t xml:space="preserve">Justification</w:t>
      </w:r>
    </w:p>
    <w:p>
      <w:pPr/>
      <w:r>
        <w:rPr/>
        <w:t xml:space="preserve">A fournir le cas échéant</w:t>
      </w:r>
    </w:p>
    <w:p>
      <w:pPr>
        <w:ind w:left="1440" w:right="0"/>
      </w:pPr>
      <w:r>
        <w:rPr>
          <w:rStyle w:val="font_h3"/>
        </w:rPr>
        <w:t xml:space="preserve">3.5.6. Références chantiers</w:t>
      </w:r>
    </w:p>
    <w:p>
      <w:pPr/>
      <w:r>
        <w:rPr/>
        <w:t xml:space="preserve">Validé par le Groupe Spécialisé le 05/02/2019</w:t>
      </w:r>
    </w:p>
    <w:p>
      <w:pPr/>
      <w:r>
        <w:rPr>
          <w:b/>
          <w:bCs/>
        </w:rPr>
        <w:t xml:space="preserve">Description</w:t>
      </w:r>
    </w:p>
    <w:p>
      <w:pPr>
        <w:pPr/>
        <w:numPr>
          <w:ilvl w:val="0"/>
          <w:numId w:val="22"/>
        </w:numPr>
      </w:pPr>
      <w:r>
        <w:rPr/>
        <w:t xml:space="preserve">Fourniture du nombre d'opérations réalisées et de leur antériorité </w:t>
      </w:r>
    </w:p>
    <w:p>
      <w:pPr>
        <w:pPr/>
        <w:numPr>
          <w:ilvl w:val="0"/>
          <w:numId w:val="22"/>
        </w:numPr>
      </w:pPr>
      <w:r>
        <w:rPr/>
        <w:t xml:space="preserve">Pour des composants spécifiques (régulation particulière d’un groupe d’extraction, prise de pression déportée,…), fourniture d'une liste de chantiers références comportant : </w:t>
      </w:r>
    </w:p>
    <w:p>
      <w:pPr>
        <w:pPr/>
        <w:numPr>
          <w:ilvl w:val="1"/>
          <w:numId w:val="22"/>
        </w:numPr>
      </w:pPr>
      <w:r>
        <w:rPr/>
        <w:t xml:space="preserve">la localisation géographique, </w:t>
      </w:r>
    </w:p>
    <w:p>
      <w:pPr>
        <w:pPr/>
        <w:numPr>
          <w:ilvl w:val="1"/>
          <w:numId w:val="22"/>
        </w:numPr>
      </w:pPr>
      <w:r>
        <w:rPr/>
        <w:t xml:space="preserve">la date de réalisation, </w:t>
      </w:r>
    </w:p>
    <w:p>
      <w:pPr>
        <w:pPr/>
        <w:numPr>
          <w:ilvl w:val="1"/>
          <w:numId w:val="22"/>
        </w:numPr>
      </w:pPr>
      <w:r>
        <w:rPr/>
        <w:t xml:space="preserve">la description du type de bâtiment et l'identité des acteurs (entreprise de pose et nom de son correspondant, maître d’ouvrage ou du représentant des utilisateurs des locaux, le cas échéant, Maître d’œuvre et contrôleur technique missionné) </w:t>
      </w:r>
    </w:p>
    <w:p>
      <w:pPr>
        <w:pPr/>
        <w:numPr>
          <w:ilvl w:val="0"/>
          <w:numId w:val="22"/>
        </w:numPr>
      </w:pPr>
      <w:r>
        <w:rPr/>
        <w:t xml:space="preserve">Organisation de la visite des ouvrages sélectionnés par l’instructeur de la demande, à partir de la liste fournie</w:t>
      </w:r>
    </w:p>
    <w:p>
      <w:pPr>
        <w:ind w:left="1440" w:right="0"/>
      </w:pPr>
      <w:r>
        <w:rPr>
          <w:rStyle w:val="font_h3"/>
        </w:rPr>
        <w:t xml:space="preserve">3.5.7. Autres</w:t>
      </w:r>
    </w:p>
    <w:p>
      <w:pPr/>
      <w:r>
        <w:rPr/>
        <w:t xml:space="preserve">Validé par le Groupe Spécialisé le 05/02/2019</w:t>
      </w:r>
    </w:p>
    <w:p>
      <w:pPr/>
      <w:r>
        <w:rPr>
          <w:b/>
          <w:bCs/>
        </w:rPr>
        <w:t xml:space="preserve">Description</w:t>
      </w:r>
    </w:p>
    <w:p>
      <w:pPr/>
      <w:r>
        <w:rPr/>
        <w:t xml:space="preserve">Justification de l’aptitude à l’emploi et des autres performances revendiquées comme par exemple :</w:t>
      </w:r>
    </w:p>
    <w:p>
      <w:pPr>
        <w:pPr/>
        <w:numPr>
          <w:ilvl w:val="0"/>
          <w:numId w:val="23"/>
        </w:numPr>
      </w:pPr>
      <w:r>
        <w:rPr/>
        <w:t xml:space="preserve">la durabilité du système et de ses performances,</w:t>
      </w:r>
    </w:p>
    <w:p>
      <w:pPr>
        <w:pPr/>
        <w:numPr>
          <w:ilvl w:val="0"/>
          <w:numId w:val="23"/>
        </w:numPr>
      </w:pPr>
      <w:r>
        <w:rPr/>
        <w:t xml:space="preserve">la compatibilité du système avec les éventuels appareils à gaz raccordés.</w:t>
      </w:r>
    </w:p>
    <w:p>
      <w:pPr>
        <w:pPr/>
        <w:numPr>
          <w:ilvl w:val="0"/>
          <w:numId w:val="23"/>
        </w:numPr>
      </w:pPr>
      <w:r>
        <w:rPr/>
        <w:t xml:space="preserve">le fait que le système ne fait pas obstacle au respect des exigences de l’arrêté du 1er août 2006 modifié relatif à l’accessibilité aux personnes handicapées des bâtiments d’habitation collectifs et individuels,</w:t>
      </w:r>
    </w:p>
    <w:p>
      <w:pPr>
        <w:pPr/>
        <w:numPr>
          <w:ilvl w:val="0"/>
          <w:numId w:val="23"/>
        </w:numPr>
      </w:pPr>
      <w:r>
        <w:rPr/>
        <w:t xml:space="preserve">le respect des garde-fous prévus par le Groupe Spécialisé pour les groupes d’extraction autres qu’à courbe descendante ou plate (en d’autres termes, composants à courbe montante ou discontinue) conformément à l’ANNEXE B du document GS14V/VMC-SF-HYGRO/Annexes_V0 présentant sur le site de la CCFAT (lien suivant : </w:t>
      </w:r>
      <w:hyperlink r:id="rId9" w:history="1">
        <w:r>
          <w:rPr/>
          <w:t xml:space="preserve">http://www.ccfat.fr/gestion/family/detail/697</w:t>
        </w:r>
      </w:hyperlink>
      <w:r>
        <w:rPr/>
        <w:t xml:space="preserve">)</w:t>
      </w:r>
    </w:p>
    <w:p>
      <w:pPr/>
      <w:r>
        <w:rPr>
          <w:rStyle w:val="font_h1"/>
        </w:rPr>
        <w:t xml:space="preserve">4. Fabrication et contrôles</w:t>
      </w:r>
    </w:p>
    <w:p>
      <w:pPr/>
      <w:r>
        <w:rPr/>
        <w:t xml:space="preserve">Validé par le Groupe Spécialisé le 01/07/2025</w:t>
      </w:r>
    </w:p>
    <w:p>
      <w:pPr/>
      <w:r>
        <w:rPr>
          <w:b/>
          <w:bCs/>
        </w:rPr>
        <w:t xml:space="preserve">Description</w:t>
      </w:r>
    </w:p>
    <w:p>
      <w:pPr/>
      <w:r>
        <w:rPr/>
        <w:t xml:space="preserve">Fabrication, contrôles et marquage :</w:t>
      </w:r>
    </w:p>
    <w:p>
      <w:pPr>
        <w:pPr/>
        <w:numPr>
          <w:ilvl w:val="0"/>
          <w:numId w:val="24"/>
        </w:numPr>
      </w:pPr>
      <w:r>
        <w:rPr/>
        <w:t xml:space="preserve">méthodologies de fabrication</w:t>
      </w:r>
    </w:p>
    <w:p>
      <w:pPr>
        <w:pPr/>
        <w:numPr>
          <w:ilvl w:val="0"/>
          <w:numId w:val="24"/>
        </w:numPr>
      </w:pPr>
      <w:r>
        <w:rPr/>
        <w:t xml:space="preserve">contrôles associés effectués en usine (en particulier si les tolérances déclarées par le fabricant pour les entrées d’air et les bouches d’extraction sont inférieures aux tolérances maximales prévues dans les CPT 3827_V1 et 3828-V1) </w:t>
      </w:r>
    </w:p>
    <w:p>
      <w:pPr>
        <w:pPr/>
        <w:numPr>
          <w:ilvl w:val="0"/>
          <w:numId w:val="24"/>
        </w:numPr>
      </w:pPr>
      <w:r>
        <w:rPr/>
        <w:t xml:space="preserve">modalités d’identification</w:t>
      </w:r>
    </w:p>
    <w:p>
      <w:pPr/>
      <w:r>
        <w:rPr>
          <w:b/>
          <w:bCs/>
        </w:rPr>
        <w:t xml:space="preserve">Suivi de la constance de qualité de fabrication des groupes d’extraction en maison individuelle</w:t>
      </w:r>
    </w:p>
    <w:p>
      <w:pPr/>
      <w:r>
        <w:rPr/>
        <w:t xml:space="preserve">La constance de qualité de fabrication des groupes d’extraction ne peut être assurée que si le suivi de la qualité des groupes comporte à minima les éléments suivants : </w:t>
      </w:r>
    </w:p>
    <w:p>
      <w:pPr/>
      <w:r>
        <w:rPr/>
        <w:t xml:space="preserve">Un essai aéraulique et acoustique en laboratoire externe tous les 3 ans, avec le prélèvement des produits réalisé par un organisme indépendant (fréquence des essais aérauliques ramenée à 1 an pour des groupes à saut de vitesse). </w:t>
      </w:r>
    </w:p>
    <w:p>
      <w:pPr/>
      <w:r>
        <w:rPr/>
        <w:t xml:space="preserve">Les essais sont réalisés selon le code d’essais HYG en vigueur, en respectant les exigences suivantes :</w:t>
      </w:r>
    </w:p>
    <w:p>
      <w:pPr/>
      <w:r>
        <w:rPr/>
        <w:t xml:space="preserve">Pour les essais aérauliques : </w:t>
      </w:r>
    </w:p>
    <w:p>
      <w:pPr>
        <w:pPr/>
        <w:numPr>
          <w:ilvl w:val="0"/>
          <w:numId w:val="25"/>
        </w:numPr>
      </w:pPr>
      <w:r>
        <w:rPr/>
        <w:t xml:space="preserve">Débit : l’écart entre la courbe d’ADMISSION et la courbe de SUIVI doit être au maximum de - 5 Pa. </w:t>
      </w:r>
    </w:p>
    <w:p>
      <w:pPr>
        <w:pPr/>
        <w:numPr>
          <w:ilvl w:val="0"/>
          <w:numId w:val="25"/>
        </w:numPr>
      </w:pPr>
      <w:r>
        <w:rPr/>
        <w:t xml:space="preserve">Puissance : l’écart entre la courbe d’ADMISSION et la courbe de SUIVI doit être au maximum de : maximum de + 2 W et + 15%. </w:t>
      </w:r>
    </w:p>
    <w:p>
      <w:pPr>
        <w:pPr/>
        <w:numPr>
          <w:ilvl w:val="0"/>
          <w:numId w:val="25"/>
        </w:numPr>
      </w:pPr>
      <w:r>
        <w:rPr/>
        <w:t xml:space="preserve">Saut de vitesse : Pour les 4 points définissant le saut de vitesse, l’écart entre les points à l’ADMISSION et les points au SUIVI doit être inférieur à +/- 10 m3/h. </w:t>
      </w:r>
    </w:p>
    <w:p>
      <w:pPr/>
      <w:r>
        <w:rPr/>
        <w:t xml:space="preserve">Pour les essais acoustiques : l’écart entre l’ADMISSION et le SUIVI doit être au maximum + 2 dB avec un maximum de 38 dB.</w:t>
      </w:r>
    </w:p>
    <w:p>
      <w:pPr/>
      <w:r>
        <w:rPr>
          <w:rStyle w:val="font_h1"/>
        </w:rPr>
        <w:t xml:space="preserve">5. Configurations des systèmes, conception et dimensionnement</w:t>
      </w:r>
    </w:p>
    <w:p>
      <w:pPr>
        <w:ind w:left="720" w:right="0"/>
      </w:pPr>
      <w:r>
        <w:rPr>
          <w:rStyle w:val="font_h2"/>
        </w:rPr>
        <w:t xml:space="preserve">5.1. Généralités</w:t>
      </w:r>
    </w:p>
    <w:p>
      <w:pPr/>
      <w:r>
        <w:rPr/>
        <w:t xml:space="preserve">Validé par le Groupe Spécialisé le 01/07/2025</w:t>
      </w:r>
    </w:p>
    <w:p>
      <w:pPr/>
      <w:r>
        <w:rPr>
          <w:b/>
          <w:bCs/>
        </w:rPr>
        <w:t xml:space="preserve">Description</w:t>
      </w:r>
    </w:p>
    <w:p>
      <w:pPr/>
      <w:r>
        <w:rPr/>
        <w:t xml:space="preserve">Conception et dimensionnement :</w:t>
      </w:r>
    </w:p>
    <w:p>
      <w:pPr>
        <w:pPr/>
        <w:numPr>
          <w:ilvl w:val="0"/>
          <w:numId w:val="26"/>
        </w:numPr>
      </w:pPr>
      <w:r>
        <w:rPr/>
        <w:t xml:space="preserve">tableaux de répartition des composants (entrées d’air et bouches d’extraction) dans les pièces du logement</w:t>
      </w:r>
    </w:p>
    <w:p>
      <w:pPr>
        <w:pPr/>
        <w:numPr>
          <w:ilvl w:val="1"/>
          <w:numId w:val="26"/>
        </w:numPr>
      </w:pPr>
      <w:r>
        <w:rPr>
          <w:b/>
          <w:bCs/>
        </w:rPr>
        <w:t xml:space="preserve">Dans un même Avis Technique, et pour un même logement, il ne pourra être prévu qu’une unique répartition de composants. En d’autres termes, l’Avis Technique ne peut définir qu’une seule configuration par logement et pour un même système.</w:t>
      </w:r>
      <w:r>
        <w:rPr/>
        <w:t xml:space="preserve"> </w:t>
      </w:r>
    </w:p>
    <w:p>
      <w:pPr>
        <w:pPr/>
        <w:numPr>
          <w:ilvl w:val="0"/>
          <w:numId w:val="26"/>
        </w:numPr>
      </w:pPr>
      <w:r>
        <w:rPr/>
        <w:t xml:space="preserve">méthodologies de dimensionnement des installations</w:t>
      </w:r>
    </w:p>
    <w:p>
      <w:pPr/>
      <w:r>
        <w:rPr/>
        <w:t xml:space="preserve">Note : dans les bâtiments d'habitation collectifs les dispositions relatives au foisonnement sont précisées dans le CPT 3827_V1.</w:t>
      </w:r>
    </w:p>
    <w:p>
      <w:pPr>
        <w:pPr/>
        <w:numPr>
          <w:ilvl w:val="0"/>
          <w:numId w:val="27"/>
        </w:numPr>
      </w:pPr>
      <w:r>
        <w:rPr/>
        <w:t xml:space="preserve">indication de l’entité en charge du dimensionnement (systématiquement réalisé par le demandeur ou par une autre entité)</w:t>
      </w:r>
    </w:p>
    <w:p>
      <w:pPr>
        <w:ind w:left="720" w:right="0"/>
      </w:pPr>
      <w:r>
        <w:rPr>
          <w:rStyle w:val="font_h2"/>
        </w:rPr>
        <w:t xml:space="preserve">5.2. Qualité d'air intérieur</w:t>
      </w:r>
    </w:p>
    <w:p>
      <w:pPr/>
      <w:r>
        <w:rPr/>
        <w:t xml:space="preserve">Validé par le Groupe Spécialisé le 01/07/2025</w:t>
      </w:r>
    </w:p>
    <w:p>
      <w:pPr/>
      <w:r>
        <w:rPr>
          <w:b/>
          <w:bCs/>
        </w:rPr>
        <w:t xml:space="preserve">Description</w:t>
      </w:r>
    </w:p>
    <w:p>
      <w:pPr/>
      <w:r>
        <w:rPr/>
        <w:t xml:space="preserve">Résultats des calculs :</w:t>
      </w:r>
    </w:p>
    <w:p>
      <w:pPr>
        <w:pPr/>
        <w:numPr>
          <w:ilvl w:val="0"/>
          <w:numId w:val="28"/>
        </w:numPr>
      </w:pPr>
      <w:r>
        <w:rPr/>
        <w:t xml:space="preserve">visant à apporter des éléments de preuve quant à l’aptitude à l’emploi du système en étudiant, malgré la réduction des débits moyens d’extraction, la qualité de l’air intérieur et le risque d’apparition de désordre liés à la condensation,</w:t>
      </w:r>
    </w:p>
    <w:p>
      <w:pPr>
        <w:pPr/>
        <w:numPr>
          <w:ilvl w:val="0"/>
          <w:numId w:val="28"/>
        </w:numPr>
      </w:pPr>
      <w:r>
        <w:rPr/>
        <w:t xml:space="preserve">réalisés, sur une série de scénarios conventionnels, conformément au document « VMC simple flux hygroréglable – Règles de calculs pour l’instruction d’une demande d’Avis Technique » en vigueur disponible sur le site de la CCFAT (référence du document : GS14V/VMC-SF-HYGRO/regles-calculs en vigueur et lien : </w:t>
      </w:r>
      <w:hyperlink r:id="rId7" w:history="1">
        <w:r>
          <w:rPr/>
          <w:t xml:space="preserve">https://www.ccfat.fr/produits-procedes/famille/697/</w:t>
        </w:r>
      </w:hyperlink>
      <w:r>
        <w:rPr/>
        <w:t xml:space="preserve">).</w:t>
      </w:r>
    </w:p>
    <w:p>
      <w:pPr/>
      <w:r>
        <w:rPr/>
        <w:t xml:space="preserve">En complément des dispositions du document : GS14V/VMC-SF-HYGRO/regles-calculs en vigueur :</w:t>
      </w:r>
    </w:p>
    <w:p>
      <w:pPr>
        <w:pPr/>
        <w:numPr>
          <w:ilvl w:val="0"/>
          <w:numId w:val="29"/>
        </w:numPr>
      </w:pPr>
      <w:r>
        <w:rPr/>
        <w:t xml:space="preserve">pour une nouvelle répartition de composants introduite dans l'Avis Technique (via une nouvelle demande, une révision partielle, ...) :</w:t>
      </w:r>
    </w:p>
    <w:p>
      <w:pPr>
        <w:pPr/>
        <w:numPr>
          <w:ilvl w:val="1"/>
          <w:numId w:val="29"/>
        </w:numPr>
      </w:pPr>
      <w:r>
        <w:rPr/>
        <w:t xml:space="preserve">les calculs MATHIS sont réalisés avec la version disponible sous la licence libre GNU LGPL V3, dans la branche master du dépôt suivant : </w:t>
      </w:r>
      <w:hyperlink r:id="rId10" w:history="1">
        <w:r>
          <w:rPr/>
          <w:t xml:space="preserve">https://gitlab.com/CSTB/mathis</w:t>
        </w:r>
      </w:hyperlink>
    </w:p>
    <w:p>
      <w:pPr>
        <w:pPr/>
        <w:numPr>
          <w:ilvl w:val="1"/>
          <w:numId w:val="29"/>
        </w:numPr>
      </w:pPr>
      <w:r>
        <w:rPr/>
        <w:t xml:space="preserve">les exigences du Groupe Spécialisé applicables aux calculs « QAI » ne sont pas modifiées</w:t>
      </w:r>
    </w:p>
    <w:p>
      <w:pPr/>
      <w:r>
        <w:rPr/>
        <w:t xml:space="preserve">Note : l’exigence du 2ème tableau de l’article 4 de l'arrêté du 24 mars 1982 (débit total minimal à l’échelle du logement) doit être satisfaite en considérant la somme des débits minimaux théoriques des bouches d’extraction, pas uniquement pour le débit minimal de dimensionnement calculé en considérant les bouches d’extraction hygroréglables à 35% d’HR.</w:t>
      </w:r>
    </w:p>
    <w:p>
      <w:pPr/>
      <w:r>
        <w:rPr/>
        <w:t xml:space="preserve">Note : configuration F6_1SdB-1WC-1SdE : pas de nécessité d’étudier l’impact de la permutation des bouches d’extraction installées en SdB et SdE dans la mesure où les deux pièces techniques n’ont pas le même usage.</w:t>
      </w:r>
    </w:p>
    <w:p>
      <w:pPr>
        <w:ind w:left="720" w:right="0"/>
      </w:pPr>
      <w:r>
        <w:rPr>
          <w:rStyle w:val="font_h2"/>
        </w:rPr>
        <w:t xml:space="preserve">5.3. Données d'entrée des calculs thermiques réglementaires</w:t>
      </w:r>
    </w:p>
    <w:p>
      <w:pPr/>
      <w:r>
        <w:rPr/>
        <w:t xml:space="preserve">Validé par le Groupe Spécialisé le 01/07/2025</w:t>
      </w:r>
    </w:p>
    <w:p>
      <w:pPr/>
      <w:r>
        <w:rPr>
          <w:b/>
          <w:bCs/>
        </w:rPr>
        <w:t xml:space="preserve">Description</w:t>
      </w:r>
    </w:p>
    <w:p>
      <w:pPr/>
      <w:r>
        <w:rPr/>
        <w:t xml:space="preserve">Résultats des calculs :</w:t>
      </w:r>
    </w:p>
    <w:p>
      <w:pPr>
        <w:pPr/>
        <w:numPr>
          <w:ilvl w:val="0"/>
          <w:numId w:val="30"/>
        </w:numPr>
      </w:pPr>
      <w:r>
        <w:rPr/>
        <w:t xml:space="preserve">visant à définir les données d’entrée (du système de ventilation objet de la demande) pour les calculs thermiques règlementaires,</w:t>
      </w:r>
    </w:p>
    <w:p>
      <w:pPr>
        <w:pPr/>
        <w:numPr>
          <w:ilvl w:val="0"/>
          <w:numId w:val="30"/>
        </w:numPr>
      </w:pPr>
      <w:r>
        <w:rPr/>
        <w:t xml:space="preserve">réalisés, sur une série de scénarios conventionnels, conformément au document « VMC simple flux hygroréglable – Règles de calculs pour l’instruction d’une demande d’Avis Technique » en vigueur disponible sur le site de la CCFAT (référence du document : GS14V/VMC-SF-HYGRO/regles-calculs en vigueur et lien : </w:t>
      </w:r>
      <w:hyperlink r:id="rId7" w:history="1">
        <w:r>
          <w:rPr/>
          <w:t xml:space="preserve">https://www.ccfat.fr/produits-procedes/famille/697/</w:t>
        </w:r>
      </w:hyperlink>
      <w:r>
        <w:rPr/>
        <w:t xml:space="preserve">),.</w:t>
      </w:r>
    </w:p>
    <w:p>
      <w:pPr/>
      <w:r>
        <w:rPr>
          <w:rStyle w:val="font_h1"/>
        </w:rPr>
        <w:t xml:space="preserve">6. Mise en oeuvre</w:t>
      </w:r>
    </w:p>
    <w:p>
      <w:pPr/>
      <w:r>
        <w:rPr/>
        <w:t xml:space="preserve">Validé par le Groupe Spécialisé le 05/02/2019</w:t>
      </w:r>
    </w:p>
    <w:p>
      <w:pPr/>
      <w:r>
        <w:rPr>
          <w:b/>
          <w:bCs/>
        </w:rPr>
        <w:t xml:space="preserve">Description</w:t>
      </w:r>
    </w:p>
    <w:p>
      <w:pPr/>
      <w:r>
        <w:rPr/>
        <w:t xml:space="preserve">Diagnostics éventuels, mise en œuvre :</w:t>
      </w:r>
    </w:p>
    <w:p>
      <w:pPr>
        <w:pPr/>
        <w:numPr>
          <w:ilvl w:val="0"/>
          <w:numId w:val="31"/>
        </w:numPr>
      </w:pPr>
      <w:r>
        <w:rPr/>
        <w:t xml:space="preserve">opérations de diagnostic de l’installation existante (si ce cas est prévu dans le domaine d’emploi revendiqué par le demandeur) </w:t>
      </w:r>
    </w:p>
    <w:p>
      <w:pPr>
        <w:pPr/>
        <w:numPr>
          <w:ilvl w:val="0"/>
          <w:numId w:val="31"/>
        </w:numPr>
      </w:pPr>
      <w:r>
        <w:rPr/>
        <w:t xml:space="preserve">étapes de mise en œuvre du système</w:t>
      </w:r>
    </w:p>
    <w:p>
      <w:pPr/>
      <w:r>
        <w:rPr>
          <w:rStyle w:val="font_h1"/>
        </w:rPr>
        <w:t xml:space="preserve">7. Entretien des systèmes</w:t>
      </w:r>
    </w:p>
    <w:p>
      <w:pPr/>
      <w:r>
        <w:rPr/>
        <w:t xml:space="preserve">Validé par le Groupe Spécialisé le 05/02/2019</w:t>
      </w:r>
    </w:p>
    <w:p>
      <w:pPr/>
      <w:r>
        <w:rPr>
          <w:b/>
          <w:bCs/>
        </w:rPr>
        <w:t xml:space="preserve">Description</w:t>
      </w:r>
    </w:p>
    <w:p>
      <w:pPr/>
      <w:r>
        <w:rPr/>
        <w:t xml:space="preserve">Entretien et maintenance :</w:t>
      </w:r>
    </w:p>
    <w:p>
      <w:pPr>
        <w:pPr/>
        <w:numPr>
          <w:ilvl w:val="0"/>
          <w:numId w:val="32"/>
        </w:numPr>
      </w:pPr>
      <w:r>
        <w:rPr/>
        <w:t xml:space="preserve">opérations d’entretien et de maintenance (et leur fréquence) à appliquer à chacun des constituants du système </w:t>
      </w:r>
    </w:p>
    <w:p>
      <w:pPr>
        <w:pPr/>
        <w:numPr>
          <w:ilvl w:val="0"/>
          <w:numId w:val="32"/>
        </w:numPr>
      </w:pPr>
      <w:r>
        <w:rPr/>
        <w:t xml:space="preserve">indication si chacune de ces opérations peut être réalisée par l’occupant ou non</w:t>
      </w:r>
    </w:p>
    <w:p>
      <w:pPr/>
      <w:r>
        <w:rPr>
          <w:rStyle w:val="font_h1"/>
        </w:rPr>
        <w:t xml:space="preserve">8. Réception des installations</w:t>
      </w:r>
    </w:p>
    <w:p>
      <w:pPr/>
      <w:r>
        <w:rPr/>
        <w:t xml:space="preserve">Validé par le Groupe Spécialisé le 05/02/2019</w:t>
      </w:r>
    </w:p>
    <w:p>
      <w:pPr/>
      <w:r>
        <w:rPr>
          <w:b/>
          <w:bCs/>
        </w:rPr>
        <w:t xml:space="preserve">Description</w:t>
      </w:r>
    </w:p>
    <w:p>
      <w:pPr/>
      <w:r>
        <w:rPr/>
        <w:t xml:space="preserve">Réception :</w:t>
      </w:r>
    </w:p>
    <w:p>
      <w:pPr/>
      <w:r>
        <w:rPr/>
        <w:t xml:space="preserve">Opérations devant être effectuées à la mise en service</w:t>
      </w:r>
    </w:p>
    <w:p>
      <w:pPr/>
      <w:r>
        <w:rPr>
          <w:rStyle w:val="font_h1"/>
        </w:rPr>
        <w:t xml:space="preserve">9. Exploitation commerciale et assistance technique</w:t>
      </w:r>
    </w:p>
    <w:sectPr>
      <w:headerReference w:type="default" r:id="rId11"/>
      <w:footerReference w:type="default" r:id="rId12"/>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BF8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7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E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12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92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51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24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87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87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3C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94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90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D1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58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6E4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FF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FF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962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14B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D05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5A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18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7A6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431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fat.fr/produits-procedes/famille/697/" TargetMode="External"/><Relationship Id="rId8" Type="http://schemas.openxmlformats.org/officeDocument/2006/relationships/hyperlink" Target="http://www.ccfat.fr/groupe-specialise/14-5/" TargetMode="External"/><Relationship Id="rId9" Type="http://schemas.openxmlformats.org/officeDocument/2006/relationships/hyperlink" Target="http://www.ccfat.fr/gestion/family/detail/697" TargetMode="External"/><Relationship Id="rId10" Type="http://schemas.openxmlformats.org/officeDocument/2006/relationships/hyperlink" Target="https://gitlab.com/CSTB/mathis"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2026-06-14T04:56:49+02:00</dcterms:created>
  <dcterms:modified xsi:type="dcterms:W3CDTF">2026-06-14T04:56:49+02:00</dcterms:modified>
</cp:coreProperties>
</file>

<file path=docProps/custom.xml><?xml version="1.0" encoding="utf-8"?>
<Properties xmlns="http://schemas.openxmlformats.org/officeDocument/2006/custom-properties" xmlns:vt="http://schemas.openxmlformats.org/officeDocument/2006/docPropsVTypes"/>
</file>