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14.5 - Édité le 30/04/2026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14.5 « Equipements / Ventilation et systèmes par vecteur air »</w:t>
      </w:r>
    </w:p>
    <w:p>
      <w:pPr/>
      <w:r>
        <w:rPr>
          <w:rStyle w:val="font_default"/>
        </w:rPr>
        <w:t xml:space="preserve">Famille de produits ou procédés : </w:t>
      </w:r>
      <w:r>
        <w:rPr>
          <w:rStyle w:val="font_h3"/>
        </w:rPr>
        <w:t xml:space="preserve">Système de chauffage et rafraîchissement par vecteur air</w:t>
      </w:r>
    </w:p>
    <w:p>
      <w:pPr/>
      <w:r>
        <w:rPr>
          <w:rStyle w:val="font_h1"/>
        </w:rPr>
        <w:t xml:space="preserve">1. Principe</w:t>
      </w:r>
    </w:p>
    <w:p>
      <w:pPr/>
      <w:r>
        <w:rPr>
          <w:rStyle w:val="font_h1"/>
        </w:rPr>
        <w:t xml:space="preserve">2. Domaine d'emploi</w:t>
      </w:r>
    </w:p>
    <w:p>
      <w:pPr/>
      <w:r>
        <w:rPr>
          <w:rStyle w:val="font_h1"/>
        </w:rPr>
        <w:t xml:space="preserve">3. Description des composants</w:t>
      </w:r>
    </w:p>
    <w:p>
      <w:pPr/>
      <w:r>
        <w:rPr/>
        <w:t xml:space="preserve">Validé par le Groupe Spécialisé le 10/07/2023</w:t>
      </w:r>
    </w:p>
    <w:p>
      <w:pPr/>
      <w:r>
        <w:rPr>
          <w:b/>
          <w:bCs/>
        </w:rPr>
        <w:t xml:space="preserve">Description</w:t>
      </w:r>
    </w:p>
    <w:p>
      <w:pPr/>
      <w:r>
        <w:rPr/>
        <w:t xml:space="preserve">Lorsque le système comporte un ou plusieurs ioniseurs :</w:t>
      </w:r>
    </w:p>
    <w:p>
      <w:pPr>
        <w:pPr/>
        <w:numPr>
          <w:ilvl w:val="0"/>
          <w:numId w:val="9"/>
        </w:numPr>
      </w:pPr>
      <w:r>
        <w:rPr/>
        <w:t xml:space="preserve">Préciser le nombre et la position des ioniseurs</w:t>
      </w:r>
    </w:p>
    <w:p>
      <w:pPr>
        <w:pPr/>
        <w:numPr>
          <w:ilvl w:val="0"/>
          <w:numId w:val="9"/>
        </w:numPr>
      </w:pPr>
      <w:r>
        <w:rPr/>
        <w:t xml:space="preserve">Préciser le nombre et la position des éventuels capteurs</w:t>
      </w:r>
    </w:p>
    <w:p>
      <w:pPr>
        <w:pPr/>
        <w:numPr>
          <w:ilvl w:val="0"/>
          <w:numId w:val="9"/>
        </w:numPr>
      </w:pPr>
      <w:r>
        <w:rPr/>
        <w:t xml:space="preserve">Consommation électrique d’un ioniseur : valeur à fournir par ioniseur</w:t>
      </w:r>
    </w:p>
    <w:p>
      <w:pPr>
        <w:pPr/>
        <w:numPr>
          <w:ilvl w:val="0"/>
          <w:numId w:val="9"/>
        </w:numPr>
      </w:pPr>
      <w:r>
        <w:rPr/>
        <w:t xml:space="preserve">Préciser les éventuels modes de fonctionnement multiples (AUTO, ON, OFF, etc.).</w:t>
      </w:r>
    </w:p>
    <w:p>
      <w:pPr>
        <w:pPr/>
        <w:numPr>
          <w:ilvl w:val="0"/>
          <w:numId w:val="9"/>
        </w:numPr>
      </w:pPr>
      <w:r>
        <w:rPr/>
        <w:t xml:space="preserve">préciser les dispositions éventuelles spécifiques d'entretien</w:t>
      </w:r>
    </w:p>
    <w:p>
      <w:pPr/>
      <w:r>
        <w:rPr>
          <w:b/>
          <w:bCs/>
        </w:rPr>
        <w:t xml:space="preserve">Justification</w:t>
      </w:r>
    </w:p>
    <w:p>
      <w:pPr/>
      <w:r>
        <w:rPr/>
        <w:t xml:space="preserve">Justifier les consommations électriques, l'efficacité des ioniseurs et la non dégradation de la qualité d'air intérieur.</w:t>
      </w:r>
    </w:p>
    <w:p>
      <w:pPr/>
      <w:r>
        <w:rPr/>
        <w:t xml:space="preserve">En ce qui concerne le risque potentiel lié à la production d’ozone, la déclaration de conformité à l'UL867 et  la présence dans la base de données produits de l'UL répond au besoin.</w:t>
      </w:r>
    </w:p>
    <w:p>
      <w:pPr/>
      <w:r>
        <w:rPr>
          <w:rStyle w:val="font_h1"/>
        </w:rPr>
        <w:t xml:space="preserve">4. Fabrication et contrôles</w:t>
      </w:r>
    </w:p>
    <w:p>
      <w:pPr/>
      <w:r>
        <w:rPr>
          <w:rStyle w:val="font_h1"/>
        </w:rPr>
        <w:t xml:space="preserve">5. Configurations des systèmes</w:t>
      </w:r>
    </w:p>
    <w:p>
      <w:pPr/>
      <w:r>
        <w:rPr>
          <w:rStyle w:val="font_h1"/>
        </w:rPr>
        <w:t xml:space="preserve">6. Dimensionnement</w:t>
      </w:r>
    </w:p>
    <w:p>
      <w:pPr/>
      <w:r>
        <w:rPr/>
        <w:t xml:space="preserve">Validé par le Groupe Spécialisé le 17/10/2024</w:t>
      </w:r>
    </w:p>
    <w:p>
      <w:pPr/>
      <w:r>
        <w:rPr>
          <w:b/>
          <w:bCs/>
        </w:rPr>
        <w:t xml:space="preserve">Description</w:t>
      </w:r>
    </w:p>
    <w:p>
      <w:pPr/>
      <w:r>
        <w:rPr/>
        <w:t xml:space="preserve">Cas des systèmes multiservices générant un arrêt / reprise du système chauffage/ rafraîchissement (ex : service ECS)</w:t>
      </w:r>
    </w:p>
    <w:p>
      <w:pPr/>
      <w:r>
        <w:rPr/>
        <w:t xml:space="preserve">En l’absence de priorité chauffage / rafraîchissement du vecteur air, une étude d’impact de l’arrêt / reprise du système doit être réalisée.</w:t>
      </w:r>
    </w:p>
    <w:p>
      <w:pPr/>
      <w:r>
        <w:rPr/>
        <w:t xml:space="preserve">Elle doit porter sur toutes dispositions de logements (en fonction du domaine d'emploi) et sur la zone climatique de Nancy. La période d’arrêt (heure de départ et durée) est à définir au cas par cas en fonction de la régulation effective du système.</w:t>
      </w:r>
    </w:p>
    <w:p>
      <w:pPr/>
      <w:r>
        <w:rPr/>
        <w:t xml:space="preserve">Celle-ci pourrait être également modulée en heure de départ et en durée par jour de l’année. Si le produit possède plusieurs modes de régulation, seul(s) le(s) mode(s) de régulation le(s) plus défavorable(s) sera(ont) considéré(s) dans l'étude. Le choix de la (des) régulation(s) le(s) plus défavorable(s) devra être validé par le GS.</w:t>
      </w:r>
    </w:p>
    <w:p>
      <w:pPr/>
      <w:r>
        <w:rPr/>
        <w:t xml:space="preserve">Les critères appliqués sont identiques à ceux des vecteurs air chauffage et/ou rafraichissement seul(s). La référence reste le bâtiment sans vecteur air.L’impact sur le débit moyen extrait déperditif et sur la somme des modules des entrées d’air à donner dans les Avis Techniques est le plus défavorable entre les cas avec et sans arrêt/reprise du système.</w:t>
      </w:r>
    </w:p>
    <w:p>
      <w:pPr/>
      <w:r>
        <w:rPr/>
        <w:t xml:space="preserve">Pour les systèmes qui permettent d’assurer simultanément les services de chauffage et de production ECS mais ne permettent pas d’assurer simultanément les services de rafraîchissement et de production ECS, aucun complément d’étude n’est demandé.</w:t>
      </w:r>
    </w:p>
    <w:p>
      <w:pPr/>
      <w:r>
        <w:rPr>
          <w:rStyle w:val="font_h1"/>
        </w:rPr>
        <w:t xml:space="preserve">7. Mise en oeuvre et conception</w:t>
      </w:r>
    </w:p>
    <w:p>
      <w:pPr/>
      <w:r>
        <w:rPr/>
        <w:t xml:space="preserve">Validé par le Groupe Spécialisé le 09/02/2023</w:t>
      </w:r>
    </w:p>
    <w:p>
      <w:pPr/>
      <w:r>
        <w:rPr>
          <w:b/>
          <w:bCs/>
        </w:rPr>
        <w:t xml:space="preserve">Description</w:t>
      </w:r>
    </w:p>
    <w:p>
      <w:pPr/>
      <w:r>
        <w:rPr/>
        <w:t xml:space="preserve">La conception et le dimensionnement doivent être réalisés, par un bureau d’études thermiques, conformément aux dispositions du NF DTU 65.16, y compris concernant le taux de brassage.Si des dispositions spécifiques sont prévues concernant le taux de brassage, ces dispositions de dimensionnement doivent permettre d'assure une homogénéité de la température suffisante au niveau de la pièce desservie et équivalente à celle obtenue par le brassage prévu dans le NF DTU 65.16.</w:t>
      </w:r>
    </w:p>
    <w:p>
      <w:pPr/>
      <w:r>
        <w:rPr>
          <w:rStyle w:val="font_h1"/>
        </w:rPr>
        <w:t xml:space="preserve">8. Réception des installations</w:t>
      </w:r>
    </w:p>
    <w:p>
      <w:pPr/>
      <w:r>
        <w:rPr>
          <w:rStyle w:val="font_h1"/>
        </w:rPr>
        <w:t xml:space="preserve">9. Entretien des systèmes</w:t>
      </w:r>
    </w:p>
    <w:p>
      <w:pPr/>
      <w:r>
        <w:rPr>
          <w:rStyle w:val="font_h1"/>
        </w:rPr>
        <w:t xml:space="preserve">10. Exploitation commerciale et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9413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2026-04-30T09:43:05+02:00</dcterms:created>
  <dcterms:modified xsi:type="dcterms:W3CDTF">2026-04-30T09:43:05+02:00</dcterms:modified>
</cp:coreProperties>
</file>

<file path=docProps/custom.xml><?xml version="1.0" encoding="utf-8"?>
<Properties xmlns="http://schemas.openxmlformats.org/officeDocument/2006/custom-properties" xmlns:vt="http://schemas.openxmlformats.org/officeDocument/2006/docPropsVTypes"/>
</file>