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font_default"/>
        </w:rPr>
        <w:t xml:space="preserve">Document entériné par le Groupe Spécialisé n° 14.5 - Édité le 20/04/2024</w:t>
      </w:r>
    </w:p>
    <w:p>
      <w:pPr>
        <w:pStyle w:val="paragraph_centered"/>
      </w:pPr>
      <w:r>
        <w:rPr>
          <w:rStyle w:val="font_h1"/>
        </w:rPr>
        <w:t xml:space="preserve">Liste minimale des éléments habituellement demandés par le Groupe Spécialisé</w:t>
      </w:r>
    </w:p>
    <w:p>
      <w:pPr/>
      <w:r>
        <w:rPr>
          <w:rStyle w:val="font_h2"/>
        </w:rPr>
        <w:t xml:space="preserve">Groupe Spécialisé n° 14.5 « Equipements / Ventilation et systèmes par vecteur air »</w:t>
      </w:r>
    </w:p>
    <w:p>
      <w:pPr/>
      <w:r>
        <w:rPr>
          <w:rStyle w:val="font_default"/>
        </w:rPr>
        <w:t xml:space="preserve">Famille de produits ou procédés : </w:t>
      </w:r>
      <w:r>
        <w:rPr>
          <w:rStyle w:val="font_h3"/>
        </w:rPr>
        <w:t xml:space="preserve">Système de ventilation mécanique basse pression</w:t>
      </w:r>
    </w:p>
    <w:p>
      <w:pPr/>
      <w:r>
        <w:rPr>
          <w:rStyle w:val="font_h1"/>
        </w:rPr>
        <w:t xml:space="preserve">1. Principe</w:t>
      </w:r>
    </w:p>
    <w:p>
      <w:pPr/>
      <w:r>
        <w:rPr/>
        <w:t xml:space="preserve">Validé par le Groupe Spécialisé le 16/05/2017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le système de ventilation et le cas échéant les différents sous-systèmes.</w:t>
      </w:r>
    </w:p>
    <w:p>
      <w:pPr/>
      <w:r>
        <w:rPr>
          <w:b/>
          <w:bCs/>
        </w:rPr>
        <w:t xml:space="preserve">Critères d'évaluation</w:t>
      </w:r>
    </w:p>
    <w:p>
      <w:pPr/>
      <w:r>
        <w:rPr/>
        <w:t xml:space="preserve">Nombre de sous-systèmes par Avis Technique </w:t>
      </w:r>
    </w:p>
    <w:p>
      <w:pPr/>
      <w:r>
        <w:rPr/>
        <w:t xml:space="preserve">•   Dans un même Avis Technique, et pour un même logement, il ne pourra être prévu qu’une unique répartition de composants. </w:t>
      </w:r>
    </w:p>
    <w:p>
      <w:pPr/>
      <w:r>
        <w:rPr/>
        <w:t xml:space="preserve">•   En d’autres termes, l’Avis Technique ne peut définir qu’une seule configuration par logement et pour un même système.</w:t>
      </w:r>
    </w:p>
    <w:p>
      <w:pPr/>
      <w:r>
        <w:rPr>
          <w:rStyle w:val="font_h1"/>
        </w:rPr>
        <w:t xml:space="preserve">2. Domaine d'emploi</w:t>
      </w:r>
    </w:p>
    <w:p>
      <w:pPr/>
      <w:r>
        <w:rPr/>
        <w:t xml:space="preserve">Validé par le Groupe Spécialisé le 08/11/2022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Préciser le domaine d'emploi du procédé .</w:t>
      </w:r>
    </w:p>
    <w:p>
      <w:pPr/>
      <w:r>
        <w:rPr/>
        <w:t xml:space="preserve">Le domaine d'emploi des procédés de la famille peut couvrir les travaux :</w:t>
      </w:r>
    </w:p>
    <w:p>
      <w:pPr>
        <w:pPr/>
        <w:numPr>
          <w:ilvl w:val="0"/>
          <w:numId w:val="9"/>
        </w:numPr>
      </w:pPr>
      <w:r>
        <w:rPr/>
        <w:t xml:space="preserve">ne relevant pas de l’arrêté du 24 mars 1982 modifié relatif à l’aération des logements, </w:t>
      </w:r>
    </w:p>
    <w:p>
      <w:pPr>
        <w:pPr/>
        <w:numPr>
          <w:ilvl w:val="0"/>
          <w:numId w:val="9"/>
        </w:numPr>
      </w:pPr>
      <w:r>
        <w:rPr/>
        <w:t xml:space="preserve">exécutés dans des bâtiments d’habitation collective hormis les IGH (Immeuble de Grande Hauteur) équipés de conduits existants de fumée et/ou de ventilation naturelle, individuels ou collectifs :</w:t>
      </w:r>
    </w:p>
    <w:p>
      <w:pPr>
        <w:pPr/>
        <w:numPr>
          <w:ilvl w:val="1"/>
          <w:numId w:val="9"/>
        </w:numPr>
      </w:pPr>
      <w:r>
        <w:rPr/>
        <w:t xml:space="preserve">de type « shunts » avec raccordement individuel de hauteur d’étage,</w:t>
      </w:r>
    </w:p>
    <w:p>
      <w:pPr>
        <w:pPr/>
        <w:numPr>
          <w:ilvl w:val="1"/>
          <w:numId w:val="9"/>
        </w:numPr>
      </w:pPr>
      <w:r>
        <w:rPr/>
        <w:t xml:space="preserve">de type « Alsace »,</w:t>
      </w:r>
    </w:p>
    <w:p>
      <w:pPr>
        <w:pPr/>
        <w:numPr>
          <w:ilvl w:val="1"/>
          <w:numId w:val="9"/>
        </w:numPr>
      </w:pPr>
      <w:r>
        <w:rPr/>
        <w:t xml:space="preserve">circulaires métalliques avec piquage 90°.</w:t>
      </w:r>
    </w:p>
    <w:p>
      <w:pPr/>
      <w:r>
        <w:rPr>
          <w:rStyle w:val="font_h1"/>
        </w:rPr>
        <w:t xml:space="preserve">3. Composants</w:t>
      </w:r>
    </w:p>
    <w:p>
      <w:pPr/>
      <w:r>
        <w:rPr/>
        <w:t xml:space="preserve">Validé par le Groupe Spécialisé le 16/05/2017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l'ensemble des composants du système.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Pour les groupes d'extraction : fournir les déclarations de conformité UE des groupes d’extraction</w:t>
      </w:r>
    </w:p>
    <w:p>
      <w:pPr/>
      <w:r>
        <w:rPr>
          <w:b/>
          <w:bCs/>
        </w:rPr>
        <w:t xml:space="preserve">Critères d'évaluation</w:t>
      </w:r>
    </w:p>
    <w:p>
      <w:pPr/>
      <w:r>
        <w:rPr/>
        <w:t xml:space="preserve">Pour les groupes d'extraction : existence des déclarations de conformité UE des groupes d’extraction établies sous la responsabilité du fabricant. La conformité aux réglementations européennes applicables (par exemple : écoconception, sécurité électrique, CEM, machines) étant de la responsabilité du fabricant, elle ne sera pas indiquée dans le Dossier Technique.</w:t>
      </w:r>
    </w:p>
    <w:p>
      <w:pPr/>
      <w:r>
        <w:rPr>
          <w:rStyle w:val="font_h1"/>
        </w:rPr>
        <w:t xml:space="preserve">4. Fabrication et contrôles</w:t>
      </w:r>
    </w:p>
    <w:p>
      <w:pPr/>
      <w:r>
        <w:rPr>
          <w:rStyle w:val="font_h1"/>
        </w:rPr>
        <w:t xml:space="preserve">5. Diagnostics préalables</w:t>
      </w:r>
    </w:p>
    <w:p>
      <w:pPr/>
      <w:r>
        <w:rPr>
          <w:rStyle w:val="font_h1"/>
        </w:rPr>
        <w:t xml:space="preserve">6. Conception et dimensionnement</w:t>
      </w:r>
    </w:p>
    <w:p>
      <w:pPr>
        <w:ind w:left="720" w:right="0"/>
      </w:pPr>
      <w:r>
        <w:rPr>
          <w:rStyle w:val="font_h2"/>
        </w:rPr>
        <w:t xml:space="preserve">6.1. Conception</w:t>
      </w:r>
    </w:p>
    <w:p>
      <w:pPr/>
      <w:r>
        <w:rPr/>
        <w:t xml:space="preserve">Validé par le Groupe Spécialisé le 15/12/2020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le dimensionnement du système et de ses différents composants (entrées d'air, passages de transit, conduits horizontaux, conduits collectifs verticaux, unité de ventilation, réseaux d'extraction).</w:t>
      </w:r>
    </w:p>
    <w:p>
      <w:pPr/>
      <w:r>
        <w:rPr>
          <w:b/>
          <w:bCs/>
        </w:rPr>
        <w:t xml:space="preserve">Critères d'évaluation</w:t>
      </w:r>
    </w:p>
    <w:p>
      <w:pPr/>
      <w:r>
        <w:rPr/>
        <w:t xml:space="preserve">Dans le cas  des systèmes fixes ou autoréglables sans modulation des débits (on appelle « modulation de débit » un système dont le fonctionnement est en relation avec l’occupation et l’utilisation du logement), ces systèmes doivent satisfaire aux exigences de débit suivantes :</w:t>
      </w:r>
    </w:p>
    <w:p>
      <w:pPr/>
      <w:r>
        <w:pict>
          <v:shape type="#_x0000_t75" style="width:549pt; height:320pt; margin-left:0pt; margin-top:0pt; mso-position-horizontal:left; mso-position-vertical:top; mso-position-horizontal-relative:char;">
            <w10:wrap type="inline"/>
            <v:imagedata r:id="rId7" o:title=""/>
          </v:shape>
        </w:pict>
      </w:r>
    </w:p>
    <w:p>
      <w:pPr/>
      <w:r>
        <w:rPr/>
        <w:t xml:space="preserve">Note : l’utilisation d’une bouche d’extraction double débit en WC est donc exclue pour ces systèmes.</w:t>
      </w:r>
    </w:p>
    <w:p>
      <w:pPr/>
      <w:r>
        <w:rPr/>
        <w:t xml:space="preserve">Traitement des celliers dans l'habit existant (définis comme une pièce technique sans point d'eau)  :</w:t>
      </w:r>
    </w:p>
    <w:p>
      <w:pPr>
        <w:pPr/>
        <w:numPr>
          <w:ilvl w:val="0"/>
          <w:numId w:val="10"/>
        </w:numPr>
      </w:pPr>
      <w:r>
        <w:rPr/>
        <w:t xml:space="preserve">si le cellier était muni d’une ventilation, la mise en oeuvre d’une bouche d’extraction est nécessaire</w:t>
      </w:r>
    </w:p>
    <w:p>
      <w:pPr>
        <w:pPr/>
        <w:numPr>
          <w:ilvl w:val="0"/>
          <w:numId w:val="10"/>
        </w:numPr>
      </w:pPr>
      <w:r>
        <w:rPr/>
        <w:t xml:space="preserve">si le cellier n’était pas muni d’une ventilation, la mise en oeuvre d’une bouche d’extraction est optionnelle.</w:t>
      </w:r>
    </w:p>
    <w:p>
      <w:pPr/>
      <w:r>
        <w:rPr/>
        <w:t xml:space="preserve">Dans le cas d’un cellier avec point d’eau : la pièce est à considérer comme une « pièce d’eau »  et donc avec obligation de traiter cette pièce (mise en place d’une bouche d’extraction).</w:t>
      </w:r>
    </w:p>
    <w:p>
      <w:pPr>
        <w:ind w:left="720" w:right="0"/>
      </w:pPr>
      <w:r>
        <w:rPr>
          <w:rStyle w:val="font_h2"/>
        </w:rPr>
        <w:t xml:space="preserve">6.2. Qualité d'air intérieur et données d'entrée thermique</w:t>
      </w:r>
    </w:p>
    <w:p>
      <w:pPr/>
      <w:r>
        <w:rPr/>
        <w:t xml:space="preserve">Validé par le Groupe Spécialisé le 15/12/2020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Pour les systèmes hygroréglables, justifier la performance du système en terme de QAI et fournir ses données d'entrée thermique.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Pour les systèmes hygroréglables, fournir des calculs justifiant la QAI et fournissant les données d'entrée du calcul thermique règlementaire.</w:t>
      </w:r>
    </w:p>
    <w:p>
      <w:pPr/>
      <w:r>
        <w:rPr/>
        <w:t xml:space="preserve">Les calculs MATHIS sont réalisés avec la version disponible sous la licence libre GNU LGPL V3, dans la branche master du dépôt suivant : </w:t>
      </w:r>
      <w:hyperlink r:id="rId8" w:history="1">
        <w:r>
          <w:rPr/>
          <w:t xml:space="preserve">https://gitlab.com/CSTB/mathis</w:t>
        </w:r>
      </w:hyperlink>
    </w:p>
    <w:p>
      <w:pPr/>
      <w:r>
        <w:rPr>
          <w:rStyle w:val="font_h1"/>
        </w:rPr>
        <w:t xml:space="preserve">7. Mise en oeuvre</w:t>
      </w:r>
    </w:p>
    <w:p>
      <w:pPr/>
      <w:r>
        <w:rPr>
          <w:rStyle w:val="font_h1"/>
        </w:rPr>
        <w:t xml:space="preserve">8. Réglages de l'installation</w:t>
      </w:r>
    </w:p>
    <w:p>
      <w:pPr/>
      <w:r>
        <w:rPr>
          <w:rStyle w:val="font_h1"/>
        </w:rPr>
        <w:t xml:space="preserve">9. Entretien et maintenance</w:t>
      </w:r>
    </w:p>
    <w:p>
      <w:pPr/>
      <w:r>
        <w:rPr>
          <w:rStyle w:val="font_h1"/>
        </w:rPr>
        <w:t xml:space="preserve">10. Exploitation commerciale et assistance technique</w:t>
      </w:r>
    </w:p>
    <w:sectPr>
      <w:headerReference w:type="default" r:id="rId9"/>
      <w:footerReference w:type="default" r:id="rId10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_footer"/>
    </w:pPr>
    <w:r>
      <w:rPr>
        <w:rStyle w:val="font_footer"/>
      </w:rPr>
      <w:t xml:space="preserve">Secrétariat : 84 avenue Jean-Jaurès – Champs-sur-Marne – F-77447 Marne-la-Vallée Cedex 2</w:t>
    </w:r>
    <w:br/>
    <w:r>
      <w:rPr>
        <w:rStyle w:val="font_footer"/>
      </w:rPr>
      <w:t xml:space="preserve">Tel : (33)01.64.68.85.60 - Fax : (33)01.64.68.85.65</w:t>
    </w:r>
    <w:br/>
    <w:r>
      <w:rPr>
        <w:rStyle w:val="font_footer"/>
      </w:rPr>
      <w:t xml:space="preserve">Serveur Internet : http://www.cstb.fr - E-mail : secretariat.at@cstb.fr</w:t>
    </w:r>
    <w:br/>
  </w:p>
  <w:p>
    <w:pPr>
      <w:pStyle w:val="paragraph_footer"/>
    </w:pPr>
    <w:r>
      <w:rPr>
        <w:rStyle w:val="font_footer"/>
      </w:rPr>
      <w:t xml:space="preserve">Page </w:t>
    </w:r>
    <w:r>
      <w:fldChar w:fldCharType="begin"/>
    </w:r>
    <w:r>
      <w:rPr>
        <w:rStyle w:val="font_footer"/>
      </w:rPr>
      <w:instrText xml:space="preserve">PAGE</w:instrText>
    </w:r>
    <w:r>
      <w:fldChar w:fldCharType="separate"/>
    </w:r>
    <w:r>
      <w:fldChar w:fldCharType="end"/>
    </w:r>
    <w:r>
      <w:rPr>
        <w:rStyle w:val="font_footer"/>
      </w:rPr>
      <w:t xml:space="preserve"> sur </w:t>
    </w:r>
    <w:r>
      <w:fldChar w:fldCharType="begin"/>
    </w:r>
    <w:r>
      <w:rPr>
        <w:rStyle w:val="font_footer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</w:p>
  <w:p>
    <w:pPr/>
    <w:r>
      <w:pict>
        <v:shape type="#_x0000_t75" style="width:170pt; height:60pt; margin-left:0pt; margin-top:0pt; mso-position-horizontal:left; mso-position-vertical:top; mso-position-horizontal-relative:char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nsid w:val="9C690B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0F24EE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9">
    <w:abstractNumId w:val="9"/>
  </w:num>
  <w:num w:numId="10">
    <w:abstractNumId w:val="10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font_default">
    <w:name w:val="font_default"/>
    <w:basedOn w:val="Normal"/>
    <w:pPr>
      <w:spacing w:line="240" w:lineRule="auto"/>
    </w:pPr>
    <w:rPr>
      <w:rFonts w:ascii="Calibri" w:hAnsi="Calibri" w:eastAsia="Calibri" w:cs="Calibri"/>
      <w:color w:val="000000"/>
      <w:sz w:val="22"/>
      <w:szCs w:val="22"/>
    </w:rPr>
  </w:style>
  <w:style w:type="character">
    <w:name w:val="font_h1"/>
    <w:rPr>
      <w:rFonts w:ascii="Calibri" w:hAnsi="Calibri" w:eastAsia="Calibri" w:cs="Calibri"/>
      <w:color w:val="000000"/>
      <w:sz w:val="28"/>
      <w:szCs w:val="28"/>
      <w:b/>
      <w:bCs/>
    </w:rPr>
  </w:style>
  <w:style w:type="character">
    <w:name w:val="font_h2"/>
    <w:rPr>
      <w:rFonts w:ascii="Calibri" w:hAnsi="Calibri" w:eastAsia="Calibri" w:cs="Calibri"/>
      <w:color w:val="000000"/>
      <w:sz w:val="24"/>
      <w:szCs w:val="24"/>
      <w:b/>
      <w:bCs/>
    </w:rPr>
  </w:style>
  <w:style w:type="character">
    <w:name w:val="font_h3"/>
    <w:rPr>
      <w:rFonts w:ascii="Calibri" w:hAnsi="Calibri" w:eastAsia="Calibri" w:cs="Calibri"/>
      <w:color w:val="000000"/>
      <w:sz w:val="22"/>
      <w:szCs w:val="22"/>
      <w:b/>
      <w:bCs/>
    </w:rPr>
  </w:style>
  <w:style w:type="character">
    <w:name w:val="font_footer"/>
    <w:rPr>
      <w:rFonts w:ascii="Calibri" w:hAnsi="Calibri" w:eastAsia="Calibri" w:cs="Calibri"/>
      <w:color w:val="000000"/>
      <w:sz w:val="20"/>
      <w:szCs w:val="20"/>
    </w:rPr>
  </w:style>
  <w:style w:type="paragraph" w:customStyle="1" w:styleId="paragraph_centered">
    <w:name w:val="paragraph_centered"/>
    <w:basedOn w:val="Normal"/>
    <w:pPr>
      <w:jc w:val="center"/>
    </w:pPr>
  </w:style>
  <w:style w:type="paragraph" w:customStyle="1" w:styleId="paragraph_footer">
    <w:name w:val="paragraph_footer"/>
    <w:basedOn w:val="Normal"/>
    <w:pPr>
      <w:jc w:val="center"/>
      <w:spacing w:after="0" w:line="240" w:lineRule="auto"/>
    </w:pPr>
  </w:style>
  <w:style w:type="table" w:customStyle="1" w:styleId="table">
    <w:name w:val="table"/>
    <w:uiPriority w:val="99"/>
    <w:tblPr>
      <w:tblW w:w="0" w:type="auto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444444"/>
        <w:left w:val="single" w:sz="6" w:color="444444"/>
        <w:right w:val="single" w:sz="6" w:color="444444"/>
        <w:bottom w:val="single" w:sz="6" w:color="444444"/>
        <w:insideH w:val="single" w:sz="6" w:color="444444"/>
        <w:insideV w:val="single" w:sz="6" w:color="44444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gitlab.com/CSTB/mathi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2024-04-20T16:08:43+02:00</dcterms:created>
  <dcterms:modified xsi:type="dcterms:W3CDTF">2024-04-20T16:08:43+02:00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