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20 - Édité le 14/10/2025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20 « Produits et procédés spéciaux d'isolation »</w:t>
      </w:r>
    </w:p>
    <w:p>
      <w:pPr/>
      <w:r>
        <w:rPr>
          <w:rStyle w:val="font_default"/>
        </w:rPr>
        <w:t xml:space="preserve">Famille de produits ou procédés : </w:t>
      </w:r>
      <w:r>
        <w:rPr>
          <w:rStyle w:val="font_h3"/>
        </w:rPr>
        <w:t xml:space="preserve">Isolation thermique de comble en panneau ou rouleau des produits à base de fibres végétales ou animales</w:t>
      </w:r>
    </w:p>
    <w:p>
      <w:pPr/>
      <w:r>
        <w:rPr>
          <w:rStyle w:val="font_h1"/>
        </w:rPr>
        <w:t xml:space="preserve">1. Principe</w:t>
      </w:r>
    </w:p>
    <w:p>
      <w:pPr/>
      <w:r>
        <w:rPr>
          <w:rStyle w:val="font_h1"/>
        </w:rPr>
        <w:t xml:space="preserve">2. Domaine d'emploi</w:t>
      </w:r>
    </w:p>
    <w:p>
      <w:pPr/>
      <w:r>
        <w:rPr>
          <w:rStyle w:val="font_h1"/>
        </w:rPr>
        <w:t xml:space="preserve">3. Produit</w:t>
      </w:r>
    </w:p>
    <w:p>
      <w:pPr>
        <w:ind w:left="720" w:right="0"/>
      </w:pPr>
      <w:r>
        <w:rPr>
          <w:rStyle w:val="font_h2"/>
        </w:rPr>
        <w:t xml:space="preserve">3.1. Description du produit</w:t>
      </w:r>
    </w:p>
    <w:p>
      <w:pPr>
        <w:ind w:left="720" w:right="0"/>
      </w:pPr>
      <w:r>
        <w:rPr>
          <w:rStyle w:val="font_h2"/>
        </w:rPr>
        <w:t xml:space="preserve">3.2. Caractéristiques du produit</w:t>
      </w:r>
    </w:p>
    <w:p>
      <w:pPr>
        <w:ind w:left="720" w:right="0"/>
      </w:pPr>
      <w:r>
        <w:rPr>
          <w:rStyle w:val="font_h2"/>
        </w:rPr>
        <w:t xml:space="preserve">3.3. Conditionnement et stockage</w:t>
      </w:r>
    </w:p>
    <w:p>
      <w:pPr>
        <w:ind w:left="720" w:right="0"/>
      </w:pPr>
      <w:r>
        <w:rPr>
          <w:rStyle w:val="font_h2"/>
        </w:rPr>
        <w:t xml:space="preserve">3.4. Réaction au feu</w:t>
      </w:r>
    </w:p>
    <w:p>
      <w:pPr/>
      <w:r>
        <w:rPr/>
        <w:t xml:space="preserve">Validé par le Groupe Spécialisé le 27/05/2019</w:t>
      </w:r>
    </w:p>
    <w:p>
      <w:pPr/>
      <w:r>
        <w:rPr>
          <w:b/>
          <w:bCs/>
        </w:rPr>
        <w:t xml:space="preserve">Description</w:t>
      </w:r>
    </w:p>
    <w:p>
      <w:pPr/>
      <w:r>
        <w:rPr/>
        <w:t xml:space="preserve">JD 19-5 :</w:t>
      </w:r>
    </w:p>
    <w:p>
      <w:pPr/>
      <w:r>
        <w:rPr/>
        <w:t xml:space="preserve">Fournir le rapport d’essai et le rapport de classement.Préciser dans le DTED la configuration exacte d’essai : produit testé seul ou avec parement, grille, …L’euroclasse correspondant au produit seul doit être précisée dans le DTED.Dans le cas de marquage CE, le laboratoire d’essais doit être notifié pour la caractéristique réaction au feu.</w:t>
      </w:r>
    </w:p>
    <w:p>
      <w:pPr/>
      <w:r>
        <w:rPr>
          <w:rStyle w:val="font_h1"/>
        </w:rPr>
        <w:t xml:space="preserve">4. Fabrication, plan qualité et marquage</w:t>
      </w:r>
    </w:p>
    <w:p>
      <w:pPr>
        <w:ind w:left="720" w:right="0"/>
      </w:pPr>
      <w:r>
        <w:rPr>
          <w:rStyle w:val="font_h2"/>
        </w:rPr>
        <w:t xml:space="preserve">4.1. Fabrication</w:t>
      </w:r>
    </w:p>
    <w:p>
      <w:pPr>
        <w:ind w:left="720" w:right="0"/>
      </w:pPr>
      <w:r>
        <w:rPr>
          <w:rStyle w:val="font_h2"/>
        </w:rPr>
        <w:t xml:space="preserve">4.2. Contrôles</w:t>
      </w:r>
    </w:p>
    <w:p>
      <w:pPr>
        <w:ind w:left="1440" w:right="0"/>
      </w:pPr>
      <w:r>
        <w:rPr>
          <w:rStyle w:val="font_h3"/>
        </w:rPr>
        <w:t xml:space="preserve">4.2.1. Contrôle interne des matières premières</w:t>
      </w:r>
    </w:p>
    <w:p>
      <w:pPr>
        <w:ind w:left="1440" w:right="0"/>
      </w:pPr>
      <w:r>
        <w:rPr>
          <w:rStyle w:val="font_h3"/>
        </w:rPr>
        <w:t xml:space="preserve">4.2.2. Contrôle externe des matières premières</w:t>
      </w:r>
    </w:p>
    <w:p>
      <w:pPr>
        <w:ind w:left="720" w:right="0"/>
      </w:pPr>
      <w:r>
        <w:rPr>
          <w:rStyle w:val="font_h2"/>
        </w:rPr>
        <w:t xml:space="preserve">4.3. Marquage</w:t>
      </w:r>
    </w:p>
    <w:p>
      <w:pPr/>
      <w:r>
        <w:rPr>
          <w:rStyle w:val="font_h1"/>
        </w:rPr>
        <w:t xml:space="preserve">5. Mise en oeuvre</w:t>
      </w:r>
    </w:p>
    <w:p>
      <w:pPr>
        <w:ind w:left="720" w:right="0"/>
      </w:pPr>
      <w:r>
        <w:rPr>
          <w:rStyle w:val="font_h2"/>
        </w:rPr>
        <w:t xml:space="preserve">5.1. Mise en œuvre du produit</w:t>
      </w:r>
    </w:p>
    <w:p>
      <w:pPr>
        <w:ind w:left="1440" w:right="0"/>
      </w:pPr>
      <w:r>
        <w:rPr>
          <w:rStyle w:val="font_h3"/>
        </w:rPr>
        <w:t xml:space="preserve">5.1.1. Prescriptions de pose</w:t>
      </w:r>
    </w:p>
    <w:p>
      <w:pPr>
        <w:ind w:left="1440" w:right="0"/>
      </w:pPr>
      <w:r>
        <w:rPr>
          <w:rStyle w:val="font_h3"/>
        </w:rPr>
        <w:t xml:space="preserve">5.1.2. Découpe du produit</w:t>
      </w:r>
    </w:p>
    <w:p>
      <w:pPr>
        <w:ind w:left="720" w:right="0"/>
      </w:pPr>
      <w:r>
        <w:rPr>
          <w:rStyle w:val="font_h2"/>
        </w:rPr>
        <w:t xml:space="preserve">5.2. Pare-vapeur</w:t>
      </w:r>
    </w:p>
    <w:p>
      <w:pPr>
        <w:ind w:left="1440" w:right="0"/>
      </w:pPr>
      <w:r>
        <w:rPr>
          <w:rStyle w:val="font_h3"/>
        </w:rPr>
        <w:t xml:space="preserve">5.2.1. Choix du pare-vapeur</w:t>
      </w:r>
    </w:p>
    <w:p>
      <w:pPr>
        <w:ind w:left="1440" w:right="0"/>
      </w:pPr>
      <w:r>
        <w:rPr>
          <w:rStyle w:val="font_h3"/>
        </w:rPr>
        <w:t xml:space="preserve">5.2.2. Principe de pose du pare-vapeur</w:t>
      </w:r>
    </w:p>
    <w:p>
      <w:pPr>
        <w:ind w:left="720" w:right="0"/>
      </w:pPr>
      <w:r>
        <w:rPr>
          <w:rStyle w:val="font_h2"/>
        </w:rPr>
        <w:t xml:space="preserve">5.3. Ecran de sous-toiture</w:t>
      </w:r>
    </w:p>
    <w:p>
      <w:pPr>
        <w:ind w:left="720" w:right="0"/>
      </w:pPr>
      <w:r>
        <w:rPr>
          <w:rStyle w:val="font_h2"/>
        </w:rPr>
        <w:t xml:space="preserve">5.4. Recoupement des surfaces pour la mise en œuvre en ERP</w:t>
      </w:r>
    </w:p>
    <w:p>
      <w:pPr>
        <w:ind w:left="720" w:right="0"/>
      </w:pPr>
      <w:r>
        <w:rPr>
          <w:rStyle w:val="font_h2"/>
        </w:rPr>
        <w:t xml:space="preserve">5.5. Traitement des éléments dégageant de la chaleur</w:t>
      </w:r>
    </w:p>
    <w:p>
      <w:pPr>
        <w:ind w:left="1440" w:right="0"/>
      </w:pPr>
      <w:r>
        <w:rPr>
          <w:rStyle w:val="font_h3"/>
        </w:rPr>
        <w:t xml:space="preserve">5.5.1. Conduits de fumée</w:t>
      </w:r>
    </w:p>
    <w:p>
      <w:pPr>
        <w:ind w:left="1440" w:right="0"/>
      </w:pPr>
      <w:r>
        <w:rPr>
          <w:rStyle w:val="font_h3"/>
        </w:rPr>
        <w:t xml:space="preserve">5.5.2. Traitement des dispositifs d’éclairages encastrés</w:t>
      </w:r>
    </w:p>
    <w:p>
      <w:pPr>
        <w:ind w:left="1440" w:right="0"/>
      </w:pPr>
      <w:r>
        <w:rPr>
          <w:rStyle w:val="font_h3"/>
        </w:rPr>
        <w:t xml:space="preserve">5.5.3. Autres éléments dégageant de la chaleur</w:t>
      </w:r>
    </w:p>
    <w:p>
      <w:pPr/>
      <w:r>
        <w:rPr>
          <w:rStyle w:val="font_h1"/>
        </w:rPr>
        <w:t xml:space="preserve">6. Commercialisation et assistance technique</w:t>
      </w:r>
    </w:p>
    <w:p>
      <w:pPr>
        <w:ind w:left="720" w:right="0"/>
      </w:pPr>
      <w:r>
        <w:rPr>
          <w:rStyle w:val="font_h2"/>
        </w:rPr>
        <w:t xml:space="preserve">6.1. Désignation commerciale</w:t>
      </w:r>
    </w:p>
    <w:p>
      <w:pPr/>
      <w:r>
        <w:rPr/>
        <w:t xml:space="preserve">Validé par le Groupe Spécialisé le 05/02/2019</w:t>
      </w:r>
    </w:p>
    <w:p>
      <w:pPr/>
      <w:r>
        <w:rPr>
          <w:b/>
          <w:bCs/>
        </w:rPr>
        <w:t xml:space="preserve">Description</w:t>
      </w:r>
    </w:p>
    <w:p>
      <w:pPr/>
      <w:r>
        <w:rPr/>
        <w:t xml:space="preserve">JD 19-4 :</w:t>
      </w:r>
    </w:p>
    <w:p>
      <w:pPr/>
      <w:r>
        <w:rPr/>
        <w:t xml:space="preserve">La désignation commerciale du produit intégrant le procédé doit être mentionnée dans tous les rapports d’essais cités dans l’Avis Technique.</w:t>
      </w:r>
    </w:p>
    <w:p>
      <w:pPr/>
      <w:r>
        <w:rPr>
          <w:rStyle w:val="font_h1"/>
        </w:rPr>
        <w:t xml:space="preserve">7. Informations sur les intervenants ultérieurs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2025-10-14T13:58:32+02:00</dcterms:created>
  <dcterms:modified xsi:type="dcterms:W3CDTF">2025-10-14T13:58:32+02:00</dcterms:modified>
</cp:coreProperties>
</file>

<file path=docProps/custom.xml><?xml version="1.0" encoding="utf-8"?>
<Properties xmlns="http://schemas.openxmlformats.org/officeDocument/2006/custom-properties" xmlns:vt="http://schemas.openxmlformats.org/officeDocument/2006/docPropsVTypes"/>
</file>