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comble en panneau ou rouleau des produits à base de matériaux synthétiques</w:t>
      </w:r>
    </w:p>
    <w:p>
      <w:pPr/>
      <w:r>
        <w:rPr>
          <w:rStyle w:val="font_h1"/>
        </w:rPr>
        <w:t xml:space="preserve">1. Principe</w:t>
      </w:r>
    </w:p>
    <w:p>
      <w:pPr/>
      <w:r>
        <w:rPr>
          <w:rStyle w:val="font_h1"/>
        </w:rPr>
        <w:t xml:space="preserve">2. Domaine d'emploi</w:t>
      </w:r>
    </w:p>
    <w:p>
      <w:pPr/>
      <w:r>
        <w:rPr>
          <w:rStyle w:val="font_h1"/>
        </w:rPr>
        <w:t xml:space="preserve">3. Produit</w:t>
      </w:r>
    </w:p>
    <w:p>
      <w:pPr>
        <w:ind w:left="720" w:right="0"/>
      </w:pPr>
      <w:r>
        <w:rPr>
          <w:rStyle w:val="font_h2"/>
        </w:rPr>
        <w:t xml:space="preserve">3.1. Description du produit</w:t>
      </w:r>
    </w:p>
    <w:p>
      <w:pPr>
        <w:ind w:left="720" w:right="0"/>
      </w:pPr>
      <w:r>
        <w:rPr>
          <w:rStyle w:val="font_h2"/>
        </w:rPr>
        <w:t xml:space="preserve">3.2. Caractéristiques du produit</w:t>
      </w:r>
    </w:p>
    <w:p>
      <w:pPr>
        <w:ind w:left="720" w:right="0"/>
      </w:pPr>
      <w:r>
        <w:rPr>
          <w:rStyle w:val="font_h2"/>
        </w:rPr>
        <w:t xml:space="preserve">3.3. Conditionnement et stockage</w:t>
      </w:r>
    </w:p>
    <w:p>
      <w:pPr>
        <w:ind w:left="720" w:right="0"/>
      </w:pPr>
      <w:r>
        <w:rPr>
          <w:rStyle w:val="font_h2"/>
        </w:rPr>
        <w:t xml:space="preserve">3.4.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rStyle w:val="font_h1"/>
        </w:rPr>
        <w:t xml:space="preserve">4. Fabrication, plan qualité et marquage</w:t>
      </w:r>
    </w:p>
    <w:p>
      <w:pPr>
        <w:ind w:left="720" w:right="0"/>
      </w:pPr>
      <w:r>
        <w:rPr>
          <w:rStyle w:val="font_h2"/>
        </w:rPr>
        <w:t xml:space="preserve">4.1. Fabrication</w:t>
      </w:r>
    </w:p>
    <w:p>
      <w:pPr>
        <w:ind w:left="720" w:right="0"/>
      </w:pPr>
      <w:r>
        <w:rPr>
          <w:rStyle w:val="font_h2"/>
        </w:rPr>
        <w:t xml:space="preserve">4.2. Contrôles</w:t>
      </w:r>
    </w:p>
    <w:p>
      <w:pPr>
        <w:ind w:left="1440" w:right="0"/>
      </w:pPr>
      <w:r>
        <w:rPr>
          <w:rStyle w:val="font_h3"/>
        </w:rPr>
        <w:t xml:space="preserve">4.2.1. Contrôle interne des matières premières</w:t>
      </w:r>
    </w:p>
    <w:p>
      <w:pPr>
        <w:ind w:left="1440" w:right="0"/>
      </w:pPr>
      <w:r>
        <w:rPr>
          <w:rStyle w:val="font_h3"/>
        </w:rPr>
        <w:t xml:space="preserve">4.2.2. Contrôle externe des matières premières</w:t>
      </w:r>
    </w:p>
    <w:p>
      <w:pPr>
        <w:ind w:left="720" w:right="0"/>
      </w:pPr>
      <w:r>
        <w:rPr>
          <w:rStyle w:val="font_h2"/>
        </w:rPr>
        <w:t xml:space="preserve">4.3. Marquage</w:t>
      </w:r>
    </w:p>
    <w:p>
      <w:pPr/>
      <w:r>
        <w:rPr>
          <w:rStyle w:val="font_h1"/>
        </w:rPr>
        <w:t xml:space="preserve">5. Mise en oeuvre</w:t>
      </w:r>
    </w:p>
    <w:p>
      <w:pPr>
        <w:ind w:left="720" w:right="0"/>
      </w:pPr>
      <w:r>
        <w:rPr>
          <w:rStyle w:val="font_h2"/>
        </w:rPr>
        <w:t xml:space="preserve">5.1. Mise en œuvre du produit</w:t>
      </w:r>
    </w:p>
    <w:p>
      <w:pPr>
        <w:ind w:left="1440" w:right="0"/>
      </w:pPr>
      <w:r>
        <w:rPr>
          <w:rStyle w:val="font_h3"/>
        </w:rPr>
        <w:t xml:space="preserve">5.1.1. Prescriptions de pose</w:t>
      </w:r>
    </w:p>
    <w:p>
      <w:pPr>
        <w:ind w:left="1440" w:right="0"/>
      </w:pPr>
      <w:r>
        <w:rPr>
          <w:rStyle w:val="font_h3"/>
        </w:rPr>
        <w:t xml:space="preserve">5.1.2. Découpe du produit</w:t>
      </w:r>
    </w:p>
    <w:p>
      <w:pPr>
        <w:ind w:left="720" w:right="0"/>
      </w:pPr>
      <w:r>
        <w:rPr>
          <w:rStyle w:val="font_h2"/>
        </w:rPr>
        <w:t xml:space="preserve">5.2. Pare-vapeur</w:t>
      </w:r>
    </w:p>
    <w:p>
      <w:pPr>
        <w:ind w:left="1440" w:right="0"/>
      </w:pPr>
      <w:r>
        <w:rPr>
          <w:rStyle w:val="font_h3"/>
        </w:rPr>
        <w:t xml:space="preserve">5.2.1. Choix du pare-vapeur</w:t>
      </w:r>
    </w:p>
    <w:p>
      <w:pPr>
        <w:ind w:left="1440" w:right="0"/>
      </w:pPr>
      <w:r>
        <w:rPr>
          <w:rStyle w:val="font_h3"/>
        </w:rPr>
        <w:t xml:space="preserve">5.2.2. Principe de pose du pare-vapeur</w:t>
      </w:r>
    </w:p>
    <w:p>
      <w:pPr>
        <w:ind w:left="720" w:right="0"/>
      </w:pPr>
      <w:r>
        <w:rPr>
          <w:rStyle w:val="font_h2"/>
        </w:rPr>
        <w:t xml:space="preserve">5.3. Ecran de sous-toiture</w:t>
      </w:r>
    </w:p>
    <w:p>
      <w:pPr>
        <w:ind w:left="720" w:right="0"/>
      </w:pPr>
      <w:r>
        <w:rPr>
          <w:rStyle w:val="font_h2"/>
        </w:rPr>
        <w:t xml:space="preserve">5.4. Recoupement des surfaces pour la mise en œuvre en ERP</w:t>
      </w:r>
    </w:p>
    <w:p>
      <w:pPr>
        <w:ind w:left="720" w:right="0"/>
      </w:pPr>
      <w:r>
        <w:rPr>
          <w:rStyle w:val="font_h2"/>
        </w:rPr>
        <w:t xml:space="preserve">5.5. Traitement des éléments dégageant de la chaleur</w:t>
      </w:r>
    </w:p>
    <w:p>
      <w:pPr>
        <w:ind w:left="1440" w:right="0"/>
      </w:pPr>
      <w:r>
        <w:rPr>
          <w:rStyle w:val="font_h3"/>
        </w:rPr>
        <w:t xml:space="preserve">5.5.1. Conduits de fumée</w:t>
      </w:r>
    </w:p>
    <w:p>
      <w:pPr>
        <w:ind w:left="1440" w:right="0"/>
      </w:pPr>
      <w:r>
        <w:rPr>
          <w:rStyle w:val="font_h3"/>
        </w:rPr>
        <w:t xml:space="preserve">5.5.2. Traitement des dispositifs d’éclairages encastrés</w:t>
      </w:r>
    </w:p>
    <w:p>
      <w:pPr>
        <w:ind w:left="1440" w:right="0"/>
      </w:pPr>
      <w:r>
        <w:rPr>
          <w:rStyle w:val="font_h3"/>
        </w:rPr>
        <w:t xml:space="preserve">5.5.3. Autres éléments dégageant de la chaleur</w:t>
      </w:r>
    </w:p>
    <w:p>
      <w:pPr/>
      <w:r>
        <w:rPr>
          <w:rStyle w:val="font_h1"/>
        </w:rPr>
        <w:t xml:space="preserve">6. Commercialisation et assistance technique</w:t>
      </w:r>
    </w:p>
    <w:p>
      <w:pPr>
        <w:ind w:left="720" w:right="0"/>
      </w:pPr>
      <w:r>
        <w:rPr>
          <w:rStyle w:val="font_h2"/>
        </w:rPr>
        <w:t xml:space="preserve">6.1.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7. Informations sur les intervenants ultérieurs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2026-05-04T14:03:35+02:00</dcterms:created>
  <dcterms:modified xsi:type="dcterms:W3CDTF">2026-05-04T14:03:35+02:00</dcterms:modified>
</cp:coreProperties>
</file>

<file path=docProps/custom.xml><?xml version="1.0" encoding="utf-8"?>
<Properties xmlns="http://schemas.openxmlformats.org/officeDocument/2006/custom-properties" xmlns:vt="http://schemas.openxmlformats.org/officeDocument/2006/docPropsVTypes"/>
</file>