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09/01/2026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chape en dalle à plots</w:t>
      </w:r>
    </w:p>
    <w:p>
      <w:pPr/>
      <w:r>
        <w:rPr>
          <w:rStyle w:val="font_h1"/>
        </w:rPr>
        <w:t xml:space="preserve">1. Description succincte et Domaine d'application</w:t>
      </w:r>
    </w:p>
    <w:p>
      <w:pPr>
        <w:ind w:left="720" w:right="0"/>
      </w:pPr>
      <w:r>
        <w:rPr>
          <w:rStyle w:val="font_h2"/>
        </w:rPr>
        <w:t xml:space="preserve">1.1. Description succincte</w:t>
      </w:r>
    </w:p>
    <w:p>
      <w:pPr/>
      <w:r>
        <w:rPr/>
        <w:t xml:space="preserve">Validé par le Groupe Spécialisé le 04/04/2017</w:t>
      </w:r>
    </w:p>
    <w:p>
      <w:pPr/>
      <w:r>
        <w:rPr>
          <w:b/>
          <w:bCs/>
        </w:rPr>
        <w:t xml:space="preserve">Description</w:t>
      </w:r>
    </w:p>
    <w:p>
      <w:pPr/>
      <w:r>
        <w:rPr/>
        <w:t xml:space="preserve">Description du procédé et des principaux produits.</w:t>
      </w:r>
    </w:p>
    <w:p>
      <w:pPr/>
      <w:r>
        <w:rPr>
          <w:b/>
          <w:bCs/>
        </w:rPr>
        <w:t xml:space="preserve">Illustration</w:t>
      </w:r>
    </w:p>
    <w:p>
      <w:pPr/>
      <w:r>
        <w:rPr/>
        <w:t xml:space="preserve">Coupe de principe du procédé</w:t>
      </w:r>
    </w:p>
    <w:p>
      <w:pPr>
        <w:ind w:left="720" w:right="0"/>
      </w:pPr>
      <w:r>
        <w:rPr>
          <w:rStyle w:val="font_h2"/>
        </w:rPr>
        <w:t xml:space="preserve">1.2. Domaine d'application</w:t>
      </w:r>
    </w:p>
    <w:p>
      <w:pPr/>
      <w:r>
        <w:rPr/>
        <w:t xml:space="preserve">Validé par le Groupe Spécialisé le 25/04/2017</w:t>
      </w:r>
    </w:p>
    <w:p>
      <w:pPr/>
      <w:r>
        <w:rPr>
          <w:b/>
          <w:bCs/>
        </w:rPr>
        <w:t xml:space="preserve">Description</w:t>
      </w:r>
    </w:p>
    <w:p>
      <w:pPr/>
      <w:r>
        <w:rPr/>
        <w:t xml:space="preserve">Description du domaine d'emploi en terme de type de bâtiments, supports et revêtements associés.</w:t>
      </w:r>
    </w:p>
    <w:p>
      <w:pPr/>
      <w:r>
        <w:rPr>
          <w:b/>
          <w:bCs/>
        </w:rPr>
        <w:t xml:space="preserve">Justification</w:t>
      </w:r>
    </w:p>
    <w:p>
      <w:pPr/>
      <w:r>
        <w:rPr/>
        <w:t xml:space="preserve">Liste de chantiers de référence :</w:t>
      </w:r>
    </w:p>
    <w:p>
      <w:pPr>
        <w:pPr/>
        <w:numPr>
          <w:ilvl w:val="0"/>
          <w:numId w:val="9"/>
        </w:numPr>
      </w:pPr>
      <w:r>
        <w:rPr/>
        <w:t xml:space="preserve">type de chantier</w:t>
      </w:r>
    </w:p>
    <w:p>
      <w:pPr>
        <w:pPr/>
        <w:numPr>
          <w:ilvl w:val="0"/>
          <w:numId w:val="9"/>
        </w:numPr>
      </w:pPr>
      <w:r>
        <w:rPr/>
        <w:t xml:space="preserve">surface du chantier</w:t>
      </w:r>
    </w:p>
    <w:p>
      <w:pPr>
        <w:pPr/>
        <w:numPr>
          <w:ilvl w:val="0"/>
          <w:numId w:val="9"/>
        </w:numPr>
      </w:pPr>
      <w:r>
        <w:rPr/>
        <w:t xml:space="preserve">adresse chantier</w:t>
      </w:r>
    </w:p>
    <w:p>
      <w:pPr>
        <w:pPr/>
        <w:numPr>
          <w:ilvl w:val="0"/>
          <w:numId w:val="9"/>
        </w:numPr>
      </w:pPr>
      <w:r>
        <w:rPr/>
        <w:t xml:space="preserve">coordonnées Maître d'Ouvrage ou Maître d'Oeuvre</w:t>
      </w:r>
    </w:p>
    <w:p>
      <w:pPr/>
      <w:r>
        <w:rPr>
          <w:b/>
          <w:bCs/>
        </w:rPr>
        <w:t xml:space="preserve">Critères d'évaluation</w:t>
      </w:r>
    </w:p>
    <w:p>
      <w:pPr/>
      <w:r>
        <w:rPr/>
        <w:t xml:space="preserve">Retour enquête chantier</w:t>
      </w:r>
    </w:p>
    <w:p>
      <w:pPr>
        <w:ind w:left="720" w:right="0"/>
      </w:pPr>
      <w:r>
        <w:rPr>
          <w:rStyle w:val="font_h2"/>
        </w:rPr>
        <w:t xml:space="preserve">1.3.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Produits</w:t>
      </w:r>
    </w:p>
    <w:p>
      <w:pPr>
        <w:ind w:left="720" w:right="0"/>
      </w:pPr>
      <w:r>
        <w:rPr>
          <w:rStyle w:val="font_h2"/>
        </w:rPr>
        <w:t xml:space="preserve">2.1. Caractéristiques des dalles</w:t>
      </w:r>
    </w:p>
    <w:p>
      <w:pPr/>
      <w:r>
        <w:rPr/>
        <w:t xml:space="preserve">Validé par le Groupe Spécialisé le 25/04/2017</w:t>
      </w:r>
    </w:p>
    <w:p>
      <w:pPr/>
      <w:r>
        <w:rPr>
          <w:b/>
          <w:bCs/>
        </w:rPr>
        <w:t xml:space="preserve">Description</w:t>
      </w:r>
    </w:p>
    <w:p>
      <w:pPr/>
      <w:r>
        <w:rPr/>
        <w:t xml:space="preserve">Description de la dalle : </w:t>
      </w:r>
    </w:p>
    <w:p>
      <w:pPr>
        <w:pPr/>
        <w:numPr>
          <w:ilvl w:val="0"/>
          <w:numId w:val="10"/>
        </w:numPr>
      </w:pPr>
      <w:r>
        <w:rPr/>
        <w:t xml:space="preserve">dimensions, </w:t>
      </w:r>
    </w:p>
    <w:p>
      <w:pPr>
        <w:pPr/>
        <w:numPr>
          <w:ilvl w:val="0"/>
          <w:numId w:val="10"/>
        </w:numPr>
      </w:pPr>
      <w:r>
        <w:rPr/>
        <w:t xml:space="preserve">longueur, largeur, épaisseur, tolérances dimensionnelles, </w:t>
      </w:r>
    </w:p>
    <w:p>
      <w:pPr>
        <w:pPr/>
        <w:numPr>
          <w:ilvl w:val="0"/>
          <w:numId w:val="10"/>
        </w:numPr>
      </w:pPr>
      <w:r>
        <w:rPr/>
        <w:t xml:space="preserve">surface utile de la dalle, </w:t>
      </w:r>
    </w:p>
    <w:p>
      <w:pPr>
        <w:pPr/>
        <w:numPr>
          <w:ilvl w:val="0"/>
          <w:numId w:val="10"/>
        </w:numPr>
      </w:pPr>
      <w:r>
        <w:rPr/>
        <w:t xml:space="preserve">hauteur des plots</w:t>
      </w:r>
    </w:p>
    <w:p>
      <w:pPr>
        <w:pPr/>
        <w:numPr>
          <w:ilvl w:val="0"/>
          <w:numId w:val="10"/>
        </w:numPr>
      </w:pPr>
      <w:r>
        <w:rPr/>
        <w:t xml:space="preserve">épaisseur des semelles et tolérances</w:t>
      </w:r>
    </w:p>
    <w:p>
      <w:pPr>
        <w:pPr/>
        <w:numPr>
          <w:ilvl w:val="0"/>
          <w:numId w:val="10"/>
        </w:numPr>
      </w:pPr>
      <w:r>
        <w:rPr/>
        <w:t xml:space="preserve">dimension et géométrie des feuillures,</w:t>
      </w:r>
    </w:p>
    <w:p>
      <w:pPr>
        <w:pPr/>
        <w:numPr>
          <w:ilvl w:val="0"/>
          <w:numId w:val="10"/>
        </w:numPr>
      </w:pPr>
      <w:r>
        <w:rPr/>
        <w:t xml:space="preserve">épaisseur totale : semelle + plot</w:t>
      </w:r>
    </w:p>
    <w:p>
      <w:pPr>
        <w:pPr/>
        <w:numPr>
          <w:ilvl w:val="0"/>
          <w:numId w:val="10"/>
        </w:numPr>
      </w:pPr>
      <w:r>
        <w:rPr/>
        <w:t xml:space="preserve">pas de pose multiple</w:t>
      </w:r>
    </w:p>
    <w:p>
      <w:pPr>
        <w:pPr/>
        <w:numPr>
          <w:ilvl w:val="0"/>
          <w:numId w:val="10"/>
        </w:numPr>
      </w:pPr>
      <w:r>
        <w:rPr/>
        <w:t xml:space="preserve">masse volumique et tolérance,</w:t>
      </w:r>
    </w:p>
    <w:p>
      <w:pPr>
        <w:pPr/>
        <w:numPr>
          <w:ilvl w:val="0"/>
          <w:numId w:val="10"/>
        </w:numPr>
      </w:pPr>
      <w:r>
        <w:rPr/>
        <w:t xml:space="preserve">désignation commerciale,</w:t>
      </w:r>
    </w:p>
    <w:p>
      <w:pPr>
        <w:pPr/>
        <w:numPr>
          <w:ilvl w:val="0"/>
          <w:numId w:val="10"/>
        </w:numPr>
      </w:pPr>
      <w:r>
        <w:rPr/>
        <w:t xml:space="preserve">résistance thermique équivalente,</w:t>
      </w:r>
    </w:p>
    <w:p>
      <w:pPr>
        <w:pPr/>
        <w:numPr>
          <w:ilvl w:val="0"/>
          <w:numId w:val="10"/>
        </w:numPr>
      </w:pPr>
      <w:r>
        <w:rPr/>
        <w:t xml:space="preserve">classe de compressibilité selon norme NF DTU 52.10,</w:t>
      </w:r>
    </w:p>
    <w:p>
      <w:pPr>
        <w:pPr/>
        <w:numPr>
          <w:ilvl w:val="0"/>
          <w:numId w:val="10"/>
        </w:numPr>
      </w:pPr>
      <w:r>
        <w:rPr/>
        <w:t xml:space="preserve">pelliculage</w:t>
      </w:r>
    </w:p>
    <w:p>
      <w:pPr/>
      <w:r>
        <w:rPr>
          <w:b/>
          <w:bCs/>
        </w:rPr>
        <w:t xml:space="preserve">Justification</w:t>
      </w:r>
    </w:p>
    <w:p>
      <w:pPr/>
      <w:r>
        <w:rPr/>
        <w:t xml:space="preserve">-Rapports d'essais en vue du classement selon NF STU 52.10 (exemple SC1a3ACh) : compressibilité,  fluage et acoustique  </w:t>
      </w:r>
    </w:p>
    <w:p>
      <w:pPr>
        <w:pPr/>
        <w:numPr>
          <w:ilvl w:val="0"/>
          <w:numId w:val="11"/>
        </w:numPr>
      </w:pPr>
      <w:r>
        <w:rPr/>
        <w:t xml:space="preserve">Rapports d'essais résistance thermique, masse volumique, justification de la constance de ces performances,</w:t>
      </w:r>
    </w:p>
    <w:p>
      <w:pPr/>
      <w:r>
        <w:rPr/>
        <w:t xml:space="preserve">Rapport d'étude :</w:t>
      </w:r>
    </w:p>
    <w:p>
      <w:pPr>
        <w:pPr/>
        <w:numPr>
          <w:ilvl w:val="0"/>
          <w:numId w:val="12"/>
        </w:numPr>
      </w:pPr>
      <w:r>
        <w:rPr/>
        <w:t xml:space="preserve">résultats de calcul de la résistance thermique équivalente en tenant en compte des plots</w:t>
      </w:r>
    </w:p>
    <w:p>
      <w:pPr/>
      <w:r>
        <w:rPr>
          <w:b/>
          <w:bCs/>
        </w:rPr>
        <w:t xml:space="preserve">Illustration</w:t>
      </w:r>
    </w:p>
    <w:p>
      <w:pPr>
        <w:pPr/>
        <w:numPr>
          <w:ilvl w:val="0"/>
          <w:numId w:val="13"/>
        </w:numPr>
      </w:pPr>
      <w:r>
        <w:rPr/>
        <w:t xml:space="preserve">Vue de la dalle en coupe et en plan : fichier Autocad ou extension dxf</w:t>
      </w:r>
    </w:p>
    <w:p>
      <w:pPr>
        <w:ind w:left="720" w:right="0"/>
      </w:pPr>
      <w:r>
        <w:rPr>
          <w:rStyle w:val="font_h2"/>
        </w:rPr>
        <w:t xml:space="preserve">2.2.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2.3. Conditionnement</w:t>
      </w:r>
    </w:p>
    <w:p>
      <w:pPr/>
      <w:r>
        <w:rPr/>
        <w:t xml:space="preserve">Validé par le Groupe Spécialisé le 25/04/2017</w:t>
      </w:r>
    </w:p>
    <w:p>
      <w:pPr/>
      <w:r>
        <w:rPr>
          <w:b/>
          <w:bCs/>
        </w:rPr>
        <w:t xml:space="preserve">Description</w:t>
      </w:r>
    </w:p>
    <w:p>
      <w:pPr/>
      <w:r>
        <w:rPr/>
        <w:t xml:space="preserve">Description du type d’emballage ou conditionnement</w:t>
      </w:r>
    </w:p>
    <w:p>
      <w:pPr>
        <w:ind w:left="720" w:right="0"/>
      </w:pPr>
      <w:r>
        <w:rPr>
          <w:rStyle w:val="font_h2"/>
        </w:rPr>
        <w:t xml:space="preserve">2.4. Identification</w:t>
      </w:r>
    </w:p>
    <w:p>
      <w:pPr/>
      <w:r>
        <w:rPr/>
        <w:t xml:space="preserve">Validé par le Groupe Spécialisé le 25/04/2017</w:t>
      </w:r>
    </w:p>
    <w:p>
      <w:pPr/>
      <w:r>
        <w:rPr>
          <w:b/>
          <w:bCs/>
        </w:rPr>
        <w:t xml:space="preserve">Description</w:t>
      </w:r>
    </w:p>
    <w:p>
      <w:pPr/>
      <w:r>
        <w:rPr/>
        <w:t xml:space="preserve">Description du mode d'identification  sur étiquette ou emballage</w:t>
      </w:r>
    </w:p>
    <w:p>
      <w:pPr/>
      <w:r>
        <w:rPr>
          <w:b/>
          <w:bCs/>
        </w:rPr>
        <w:t xml:space="preserve">Justification</w:t>
      </w:r>
    </w:p>
    <w:p>
      <w:pPr>
        <w:pPr/>
        <w:numPr>
          <w:ilvl w:val="0"/>
          <w:numId w:val="14"/>
        </w:numPr>
      </w:pPr>
      <w:r>
        <w:rPr/>
        <w:t xml:space="preserve">DoP : déclaration des performances selon NF EN 13163</w:t>
      </w:r>
    </w:p>
    <w:p>
      <w:pPr>
        <w:pPr/>
        <w:numPr>
          <w:ilvl w:val="0"/>
          <w:numId w:val="14"/>
        </w:numPr>
      </w:pPr>
      <w:r>
        <w:rPr/>
        <w:t xml:space="preserve">exemple d'étiquette ou d'emballage</w:t>
      </w:r>
    </w:p>
    <w:p>
      <w:pPr>
        <w:ind w:left="720" w:right="0"/>
      </w:pPr>
      <w:r>
        <w:rPr>
          <w:rStyle w:val="font_h2"/>
        </w:rPr>
        <w:t xml:space="preserve">2.5. Déclaration environnementale</w:t>
      </w:r>
    </w:p>
    <w:p>
      <w:pPr/>
      <w:r>
        <w:rPr/>
        <w:t xml:space="preserve">Validé par le Groupe Spécialisé le 25/04/2017</w:t>
      </w:r>
    </w:p>
    <w:p>
      <w:pPr/>
      <w:r>
        <w:rPr>
          <w:b/>
          <w:bCs/>
        </w:rPr>
        <w:t xml:space="preserve">Description</w:t>
      </w:r>
    </w:p>
    <w:p>
      <w:pPr/>
      <w:r>
        <w:rPr/>
        <w:t xml:space="preserve">Renseignement sur l'existence d'une déclaration environnementale</w:t>
      </w:r>
    </w:p>
    <w:p>
      <w:pPr/>
      <w:r>
        <w:rPr>
          <w:rStyle w:val="font_h1"/>
        </w:rPr>
        <w:t xml:space="preserve">3. Fabrication et contrôles</w:t>
      </w:r>
    </w:p>
    <w:p>
      <w:pPr>
        <w:ind w:left="720" w:right="0"/>
      </w:pPr>
      <w:r>
        <w:rPr>
          <w:rStyle w:val="font_h2"/>
        </w:rPr>
        <w:t xml:space="preserve">3.1. Fabrication</w:t>
      </w:r>
    </w:p>
    <w:p>
      <w:pPr/>
      <w:r>
        <w:rPr/>
        <w:t xml:space="preserve">Validé par le Groupe Spécialisé le 25/04/2017</w:t>
      </w:r>
    </w:p>
    <w:p>
      <w:pPr/>
      <w:r>
        <w:rPr>
          <w:b/>
          <w:bCs/>
        </w:rPr>
        <w:t xml:space="preserve">Description</w:t>
      </w:r>
    </w:p>
    <w:p>
      <w:pPr/>
      <w:r>
        <w:rPr/>
        <w:t xml:space="preserve">Description succincte de la fabrication</w:t>
      </w:r>
    </w:p>
    <w:p>
      <w:pPr>
        <w:ind w:left="720" w:right="0"/>
      </w:pPr>
      <w:r>
        <w:rPr>
          <w:rStyle w:val="font_h2"/>
        </w:rPr>
        <w:t xml:space="preserve">3.2. Contrôle en usine</w:t>
      </w:r>
    </w:p>
    <w:p>
      <w:pPr/>
      <w:r>
        <w:rPr/>
        <w:t xml:space="preserve">Validé par le Groupe Spécialisé le 25/04/2017</w:t>
      </w:r>
    </w:p>
    <w:p>
      <w:pPr/>
      <w:r>
        <w:rPr>
          <w:b/>
          <w:bCs/>
        </w:rPr>
        <w:t xml:space="preserve">Description</w:t>
      </w:r>
    </w:p>
    <w:p>
      <w:pPr/>
      <w:r>
        <w:rPr/>
        <w:t xml:space="preserve">Description :</w:t>
      </w:r>
    </w:p>
    <w:p>
      <w:pPr>
        <w:pPr/>
        <w:numPr>
          <w:ilvl w:val="0"/>
          <w:numId w:val="15"/>
        </w:numPr>
      </w:pPr>
      <w:r>
        <w:rPr/>
        <w:t xml:space="preserve">du contrôle sur la matière première</w:t>
      </w:r>
    </w:p>
    <w:p>
      <w:pPr>
        <w:pPr/>
        <w:numPr>
          <w:ilvl w:val="0"/>
          <w:numId w:val="15"/>
        </w:numPr>
      </w:pPr>
      <w:r>
        <w:rPr/>
        <w:t xml:space="preserve">type de contrôle,</w:t>
      </w:r>
    </w:p>
    <w:p>
      <w:pPr>
        <w:pPr/>
        <w:numPr>
          <w:ilvl w:val="0"/>
          <w:numId w:val="15"/>
        </w:numPr>
      </w:pPr>
      <w:r>
        <w:rPr/>
        <w:t xml:space="preserve">fréquence de contrôle</w:t>
      </w:r>
    </w:p>
    <w:p>
      <w:pPr/>
      <w:r>
        <w:rPr>
          <w:b/>
          <w:bCs/>
        </w:rPr>
        <w:t xml:space="preserve">Justification</w:t>
      </w:r>
    </w:p>
    <w:p>
      <w:pPr/>
      <w:r>
        <w:rPr/>
        <w:t xml:space="preserve">Suivi de la constance des performances::</w:t>
      </w:r>
    </w:p>
    <w:p>
      <w:pPr>
        <w:pPr/>
        <w:numPr>
          <w:ilvl w:val="0"/>
          <w:numId w:val="16"/>
        </w:numPr>
      </w:pPr>
      <w:r>
        <w:rPr/>
        <w:t xml:space="preserve">masse volumique,</w:t>
      </w:r>
    </w:p>
    <w:p>
      <w:pPr>
        <w:pPr/>
        <w:numPr>
          <w:ilvl w:val="0"/>
          <w:numId w:val="16"/>
        </w:numPr>
      </w:pPr>
      <w:r>
        <w:rPr/>
        <w:t xml:space="preserve">conductivité ou résistance thermique</w:t>
      </w:r>
    </w:p>
    <w:p>
      <w:pPr>
        <w:pPr/>
        <w:numPr>
          <w:ilvl w:val="0"/>
          <w:numId w:val="16"/>
        </w:numPr>
      </w:pPr>
      <w:r>
        <w:rPr/>
        <w:t xml:space="preserve">compressibilité </w:t>
      </w:r>
    </w:p>
    <w:p>
      <w:pPr>
        <w:pPr/>
        <w:numPr>
          <w:ilvl w:val="0"/>
          <w:numId w:val="16"/>
        </w:numPr>
      </w:pPr>
      <w:r>
        <w:rPr/>
        <w:t xml:space="preserve">dimensionnel : longueur, largeur, épaisseur</w:t>
      </w:r>
    </w:p>
    <w:p>
      <w:pPr>
        <w:pPr/>
        <w:numPr>
          <w:ilvl w:val="0"/>
          <w:numId w:val="16"/>
        </w:numPr>
      </w:pPr>
      <w:r>
        <w:rPr/>
        <w:t xml:space="preserve">fréquence minimum : une mesure par lot de fabrication sauf pour l’épaisseur minimum 3 mesures par lot de fabrication</w:t>
      </w:r>
    </w:p>
    <w:p>
      <w:pPr/>
      <w:r>
        <w:rPr>
          <w:rStyle w:val="font_h1"/>
        </w:rPr>
        <w:t xml:space="preserve">4. Mise en oeuvre</w:t>
      </w:r>
    </w:p>
    <w:p>
      <w:pPr>
        <w:ind w:left="720" w:right="0"/>
      </w:pPr>
      <w:r>
        <w:rPr>
          <w:rStyle w:val="font_h2"/>
        </w:rPr>
        <w:t xml:space="preserve">4.1. Stockage sur chantier</w:t>
      </w:r>
    </w:p>
    <w:p>
      <w:pPr/>
      <w:r>
        <w:rPr/>
        <w:t xml:space="preserve">Validé par le Groupe Spécialisé le 25/04/2017</w:t>
      </w:r>
    </w:p>
    <w:p>
      <w:pPr/>
      <w:r>
        <w:rPr>
          <w:b/>
          <w:bCs/>
        </w:rPr>
        <w:t xml:space="preserve">Description</w:t>
      </w:r>
    </w:p>
    <w:p>
      <w:pPr/>
      <w:r>
        <w:rPr/>
        <w:t xml:space="preserve">Description du stockage sur chantier.Prescription des protections anti UV d’emballage si le PSE est graphité.</w:t>
      </w:r>
    </w:p>
    <w:p>
      <w:pPr>
        <w:ind w:left="720" w:right="0"/>
      </w:pPr>
      <w:r>
        <w:rPr>
          <w:rStyle w:val="font_h2"/>
        </w:rPr>
        <w:t xml:space="preserve">4.2. Nature et planéité des supports</w:t>
      </w:r>
    </w:p>
    <w:p>
      <w:pPr>
        <w:ind w:left="1440" w:right="0"/>
      </w:pPr>
      <w:r>
        <w:rPr>
          <w:rStyle w:val="font_h3"/>
        </w:rPr>
        <w:t xml:space="preserve">4.2.1. Nature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4.2.2. Age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4.2.3. Propreté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4.2.4. Planéité du support et ravoirage</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4.2.5. Enduit de préparation de sol</w:t>
      </w:r>
    </w:p>
    <w:p>
      <w:pPr/>
      <w:r>
        <w:rPr/>
        <w:t xml:space="preserve">Validé par le Groupe Spécialisé le 25/04/2017</w:t>
      </w:r>
    </w:p>
    <w:p>
      <w:pPr/>
      <w:r>
        <w:rPr>
          <w:b/>
          <w:bCs/>
        </w:rPr>
        <w:t xml:space="preserve">Description</w:t>
      </w:r>
    </w:p>
    <w:p>
      <w:pPr/>
      <w:r>
        <w:rPr/>
        <w:t xml:space="preserve">Description selon la NF DTU 52.10</w:t>
      </w:r>
    </w:p>
    <w:p>
      <w:pPr>
        <w:ind w:left="720" w:right="0"/>
      </w:pPr>
      <w:r>
        <w:rPr>
          <w:rStyle w:val="font_h2"/>
        </w:rPr>
        <w:t xml:space="preserve">4.3. Canalisations, fourreaux et conduits</w:t>
      </w:r>
    </w:p>
    <w:p>
      <w:pPr/>
      <w:r>
        <w:rPr/>
        <w:t xml:space="preserve">Validé par le Groupe Spécialisé le 25/04/2017</w:t>
      </w:r>
    </w:p>
    <w:p>
      <w:pPr/>
      <w:r>
        <w:rPr>
          <w:b/>
          <w:bCs/>
        </w:rPr>
        <w:t xml:space="preserve">Description</w:t>
      </w:r>
    </w:p>
    <w:p>
      <w:pPr/>
      <w:r>
        <w:rPr/>
        <w:t xml:space="preserve">Description de la mise en oeuvre des canalisations, fourreau et conduits</w:t>
      </w:r>
    </w:p>
    <w:p>
      <w:pPr/>
      <w:r>
        <w:rPr>
          <w:b/>
          <w:bCs/>
        </w:rPr>
        <w:t xml:space="preserve">Illustration</w:t>
      </w:r>
    </w:p>
    <w:p>
      <w:pPr/>
      <w:r>
        <w:rPr/>
        <w:t xml:space="preserve">Schémas de coupe de désolidarisation des canalisations, fourreaux et conduits de la chape</w:t>
      </w:r>
    </w:p>
    <w:p>
      <w:pPr/>
      <w:r>
        <w:rPr>
          <w:b/>
          <w:bCs/>
        </w:rPr>
        <w:t xml:space="preserve">Critères d'évaluation</w:t>
      </w:r>
    </w:p>
    <w:p>
      <w:pPr/>
      <w:r>
        <w:rPr/>
        <w:t xml:space="preserve">Conformité par rapport aux NF DTU visant le type de chape visée</w:t>
      </w:r>
    </w:p>
    <w:p>
      <w:pPr>
        <w:ind w:left="720" w:right="0"/>
      </w:pPr>
      <w:r>
        <w:rPr>
          <w:rStyle w:val="font_h2"/>
        </w:rPr>
        <w:t xml:space="preserve">4.4. Bande compressible périphérique</w:t>
      </w:r>
    </w:p>
    <w:p>
      <w:pPr/>
      <w:r>
        <w:rPr/>
        <w:t xml:space="preserve">Validé par le Groupe Spécialisé le 25/04/2017</w:t>
      </w:r>
    </w:p>
    <w:p>
      <w:pPr/>
      <w:r>
        <w:rPr>
          <w:b/>
          <w:bCs/>
        </w:rPr>
        <w:t xml:space="preserve">Description</w:t>
      </w:r>
    </w:p>
    <w:p>
      <w:pPr/>
      <w:r>
        <w:rPr/>
        <w:t xml:space="preserve">Description de la mise en oeuvre de la bande compressible périphérique</w:t>
      </w:r>
    </w:p>
    <w:p>
      <w:pPr/>
      <w:r>
        <w:rPr/>
        <w:t xml:space="preserve">Hauteur de la bande compressible de désolidarisation</w:t>
      </w:r>
    </w:p>
    <w:p>
      <w:pPr/>
      <w:r>
        <w:rPr>
          <w:b/>
          <w:bCs/>
        </w:rPr>
        <w:t xml:space="preserve">Illustration</w:t>
      </w:r>
    </w:p>
    <w:p>
      <w:pPr/>
      <w:r>
        <w:rPr/>
        <w:t xml:space="preserve">Schémas de coupe</w:t>
      </w:r>
    </w:p>
    <w:p>
      <w:pPr/>
      <w:r>
        <w:rPr>
          <w:b/>
          <w:bCs/>
        </w:rPr>
        <w:t xml:space="preserve">Critères d'évaluation</w:t>
      </w:r>
    </w:p>
    <w:p>
      <w:pPr/>
      <w:r>
        <w:rPr/>
        <w:t xml:space="preserve">Hauteur de la bande en cohérence avec la hauteur totale du système de plancher</w:t>
      </w:r>
    </w:p>
    <w:p>
      <w:pPr>
        <w:ind w:left="720" w:right="0"/>
      </w:pPr>
      <w:r>
        <w:rPr>
          <w:rStyle w:val="font_h2"/>
        </w:rPr>
        <w:t xml:space="preserve">4.5. Règle de superposition</w:t>
      </w:r>
    </w:p>
    <w:p>
      <w:pPr>
        <w:ind w:left="720" w:right="0"/>
      </w:pPr>
      <w:r>
        <w:rPr>
          <w:rStyle w:val="font_h2"/>
        </w:rPr>
        <w:t xml:space="preserve">4.6. Pose des dalles</w:t>
      </w:r>
    </w:p>
    <w:p>
      <w:pPr/>
      <w:r>
        <w:rPr/>
        <w:t xml:space="preserve">Validé par le Groupe Spécialisé le 25/04/2017</w:t>
      </w:r>
    </w:p>
    <w:p>
      <w:pPr/>
      <w:r>
        <w:rPr>
          <w:b/>
          <w:bCs/>
        </w:rPr>
        <w:t xml:space="preserve">Description</w:t>
      </w:r>
    </w:p>
    <w:p>
      <w:pPr>
        <w:pPr/>
        <w:numPr>
          <w:ilvl w:val="0"/>
          <w:numId w:val="17"/>
        </w:numPr>
      </w:pPr>
      <w:r>
        <w:rPr/>
        <w:t xml:space="preserve">Description du mode opératoire pas à pas  de la pose des dalles à plots,</w:t>
      </w:r>
    </w:p>
    <w:p>
      <w:pPr>
        <w:pPr/>
        <w:numPr>
          <w:ilvl w:val="0"/>
          <w:numId w:val="17"/>
        </w:numPr>
      </w:pPr>
      <w:r>
        <w:rPr/>
        <w:t xml:space="preserve">Description du mode de découpes des dalles à plots, </w:t>
      </w:r>
    </w:p>
    <w:p>
      <w:pPr>
        <w:pPr/>
        <w:numPr>
          <w:ilvl w:val="0"/>
          <w:numId w:val="17"/>
        </w:numPr>
      </w:pPr>
      <w:r>
        <w:rPr/>
        <w:t xml:space="preserve">Description du mode de protection des surfaces équipées de dalles à plots ;</w:t>
      </w:r>
    </w:p>
    <w:p>
      <w:pPr>
        <w:pPr/>
        <w:numPr>
          <w:ilvl w:val="0"/>
          <w:numId w:val="17"/>
        </w:numPr>
      </w:pPr>
      <w:r>
        <w:rPr/>
        <w:t xml:space="preserve">Description du mode opératoire de nettoyer du chantier avant coulage de la chape ;</w:t>
      </w:r>
    </w:p>
    <w:p>
      <w:pPr>
        <w:pPr/>
        <w:numPr>
          <w:ilvl w:val="0"/>
          <w:numId w:val="17"/>
        </w:numPr>
      </w:pPr>
      <w:r>
        <w:rPr/>
        <w:t xml:space="preserve">Description de la fiche chantier sur les critères de réception de la pose du procédé des dalles à plots,</w:t>
      </w:r>
    </w:p>
    <w:p>
      <w:pPr/>
      <w:r>
        <w:rPr>
          <w:b/>
          <w:bCs/>
        </w:rPr>
        <w:t xml:space="preserve">Illustration</w:t>
      </w:r>
    </w:p>
    <w:p>
      <w:pPr/>
      <w:r>
        <w:rPr/>
        <w:t xml:space="preserve">Exemple de plan du déroulement de la pose des dalles à plots</w:t>
      </w:r>
    </w:p>
    <w:p>
      <w:pPr/>
      <w:r>
        <w:rPr>
          <w:b/>
          <w:bCs/>
        </w:rPr>
        <w:t xml:space="preserve">Critères d'évaluation</w:t>
      </w:r>
    </w:p>
    <w:p>
      <w:pPr>
        <w:pPr/>
        <w:numPr>
          <w:ilvl w:val="0"/>
          <w:numId w:val="18"/>
        </w:numPr>
      </w:pPr>
      <w:r>
        <w:rPr/>
        <w:t xml:space="preserve">Réalisation des découpes dans une seule pièce, dans le but de faciliter le nettoyage du chantier ;</w:t>
      </w:r>
    </w:p>
    <w:p>
      <w:pPr>
        <w:pPr/>
        <w:numPr>
          <w:ilvl w:val="0"/>
          <w:numId w:val="18"/>
        </w:numPr>
      </w:pPr>
      <w:r>
        <w:rPr/>
        <w:t xml:space="preserve">Protection des surfaces équipées de dalles à plots par des planches ou des chutes de dalles posées à l’envers ;</w:t>
      </w:r>
    </w:p>
    <w:p>
      <w:pPr>
        <w:pPr/>
        <w:numPr>
          <w:ilvl w:val="0"/>
          <w:numId w:val="18"/>
        </w:numPr>
      </w:pPr>
      <w:r>
        <w:rPr/>
        <w:t xml:space="preserve">Nettoyage du chantier avant coulage de la chape ;</w:t>
      </w:r>
    </w:p>
    <w:p>
      <w:pPr>
        <w:pPr/>
        <w:numPr>
          <w:ilvl w:val="0"/>
          <w:numId w:val="18"/>
        </w:numPr>
      </w:pPr>
      <w:r>
        <w:rPr/>
        <w:t xml:space="preserve">Pertinence de la fiche chantier des critères de réception de la pose des dalles à plots par retour chantier</w:t>
      </w:r>
    </w:p>
    <w:p>
      <w:pPr>
        <w:ind w:left="720" w:right="0"/>
      </w:pPr>
      <w:r>
        <w:rPr>
          <w:rStyle w:val="font_h2"/>
        </w:rPr>
        <w:t xml:space="preserve">4.7. Protection des dalles</w:t>
      </w:r>
    </w:p>
    <w:p>
      <w:pPr/>
      <w:r>
        <w:rPr/>
        <w:t xml:space="preserve">Validé par le Groupe Spécialisé le 25/04/2017</w:t>
      </w:r>
    </w:p>
    <w:p>
      <w:pPr/>
      <w:r>
        <w:rPr>
          <w:b/>
          <w:bCs/>
        </w:rPr>
        <w:t xml:space="preserve">Description</w:t>
      </w:r>
    </w:p>
    <w:p>
      <w:pPr/>
      <w:r>
        <w:rPr/>
        <w:t xml:space="preserve">Description de la protection des dalles lors de la mise en œuvre pendant les différentes phases du chantier : </w:t>
      </w:r>
    </w:p>
    <w:p>
      <w:pPr>
        <w:pPr/>
        <w:numPr>
          <w:ilvl w:val="0"/>
          <w:numId w:val="19"/>
        </w:numPr>
      </w:pPr>
      <w:r>
        <w:rPr/>
        <w:t xml:space="preserve">pose des dalles, </w:t>
      </w:r>
    </w:p>
    <w:p>
      <w:pPr>
        <w:pPr/>
        <w:numPr>
          <w:ilvl w:val="0"/>
          <w:numId w:val="19"/>
        </w:numPr>
      </w:pPr>
      <w:r>
        <w:rPr/>
        <w:t xml:space="preserve">pose des tubes </w:t>
      </w:r>
    </w:p>
    <w:p>
      <w:pPr>
        <w:pPr/>
        <w:numPr>
          <w:ilvl w:val="0"/>
          <w:numId w:val="19"/>
        </w:numPr>
      </w:pPr>
      <w:r>
        <w:rPr/>
        <w:t xml:space="preserve">coulage de la chape</w:t>
      </w:r>
    </w:p>
    <w:p>
      <w:pPr/>
      <w:r>
        <w:rPr>
          <w:b/>
          <w:bCs/>
        </w:rPr>
        <w:t xml:space="preserve">Critères d'évaluation</w:t>
      </w:r>
    </w:p>
    <w:p>
      <w:pPr>
        <w:pPr/>
        <w:numPr>
          <w:ilvl w:val="0"/>
          <w:numId w:val="20"/>
        </w:numPr>
      </w:pPr>
      <w:r>
        <w:rPr/>
        <w:t xml:space="preserve">pertinence de la faisabilité de la protection par retour chantier</w:t>
      </w:r>
    </w:p>
    <w:p>
      <w:pPr>
        <w:ind w:left="720" w:right="0"/>
      </w:pPr>
      <w:r>
        <w:rPr>
          <w:rStyle w:val="font_h2"/>
        </w:rPr>
        <w:t xml:space="preserve">4.8. Pose de tubes de chauffage</w:t>
      </w:r>
    </w:p>
    <w:p>
      <w:pPr/>
      <w:r>
        <w:rPr/>
        <w:t xml:space="preserve">Validé par le Groupe Spécialisé le 25/04/2017</w:t>
      </w:r>
    </w:p>
    <w:p>
      <w:pPr/>
      <w:r>
        <w:rPr>
          <w:b/>
          <w:bCs/>
        </w:rPr>
        <w:t xml:space="preserve">Description</w:t>
      </w:r>
    </w:p>
    <w:p>
      <w:pPr/>
      <w:r>
        <w:rPr/>
        <w:t xml:space="preserve">Description de la pose du tube.Description du mode opératoire de l'entreprise pour ne pas écraser les plots des dalles.</w:t>
      </w:r>
    </w:p>
    <w:p>
      <w:pPr/>
      <w:r>
        <w:rPr>
          <w:b/>
          <w:bCs/>
        </w:rPr>
        <w:t xml:space="preserve">Justification</w:t>
      </w:r>
    </w:p>
    <w:p>
      <w:pPr/>
      <w:r>
        <w:rPr/>
        <w:t xml:space="preserve">Mode opératoire détaillé de l'entreprise pour ne pas écraser les plots des dalles</w:t>
      </w:r>
    </w:p>
    <w:p>
      <w:pPr/>
      <w:r>
        <w:rPr>
          <w:b/>
          <w:bCs/>
        </w:rPr>
        <w:t xml:space="preserve">Critères d'évaluation</w:t>
      </w:r>
    </w:p>
    <w:p>
      <w:pPr/>
      <w:r>
        <w:rPr/>
        <w:t xml:space="preserve">Pertinence de la fiche chantier des critères de réception de la pose des dalles à plots par retour chantier</w:t>
      </w:r>
    </w:p>
    <w:p>
      <w:pPr>
        <w:ind w:left="720" w:right="0"/>
      </w:pPr>
      <w:r>
        <w:rPr>
          <w:rStyle w:val="font_h2"/>
        </w:rPr>
        <w:t xml:space="preserve">4.9. Mise en œuvre de la couche d’enrobage</w:t>
      </w:r>
    </w:p>
    <w:p>
      <w:pPr>
        <w:ind w:left="1440" w:right="0"/>
      </w:pPr>
      <w:r>
        <w:rPr>
          <w:rStyle w:val="font_h3"/>
        </w:rPr>
        <w:t xml:space="preserve">4.9.1. Cas des chapes traditionnelles</w:t>
      </w:r>
    </w:p>
    <w:p>
      <w:pPr/>
      <w:r>
        <w:rPr/>
        <w:t xml:space="preserve">Validé par le Groupe Spécialisé le 25/04/2017</w:t>
      </w:r>
    </w:p>
    <w:p>
      <w:pPr/>
      <w:r>
        <w:rPr>
          <w:b/>
          <w:bCs/>
        </w:rPr>
        <w:t xml:space="preserve">Description</w:t>
      </w:r>
    </w:p>
    <w:p>
      <w:pPr/>
      <w:r>
        <w:rPr/>
        <w:t xml:space="preserve">Description de la mise en oeuvre de la chape selon la NF DTU 26.2 ou 21Description ou définition des prescriptions spécifiques du coulage de la chape</w:t>
      </w:r>
    </w:p>
    <w:p>
      <w:pPr/>
      <w:r>
        <w:rPr>
          <w:b/>
          <w:bCs/>
        </w:rPr>
        <w:t xml:space="preserve">Critères d'évaluation</w:t>
      </w:r>
    </w:p>
    <w:p>
      <w:pPr/>
      <w:r>
        <w:rPr/>
        <w:t xml:space="preserve">Vérification de la faisabilité des prescriptions auprès des chapistes</w:t>
      </w:r>
    </w:p>
    <w:p>
      <w:pPr>
        <w:ind w:left="1440" w:right="0"/>
      </w:pPr>
      <w:r>
        <w:rPr>
          <w:rStyle w:val="font_h3"/>
        </w:rPr>
        <w:t xml:space="preserve">4.9.2. Cas des chapes fluides</w:t>
      </w:r>
    </w:p>
    <w:p>
      <w:pPr/>
      <w:r>
        <w:rPr/>
        <w:t xml:space="preserve">Validé par le Groupe Spécialisé le 25/04/2017</w:t>
      </w:r>
    </w:p>
    <w:p>
      <w:pPr/>
      <w:r>
        <w:rPr>
          <w:b/>
          <w:bCs/>
        </w:rPr>
        <w:t xml:space="preserve">Description</w:t>
      </w:r>
    </w:p>
    <w:p>
      <w:pPr/>
      <w:r>
        <w:rPr/>
        <w:t xml:space="preserve">Description de la mise en oeuvre de la chape selon les Avis Technique ou Documents Techniques d'Application.Description ou définition dans le DTED des prescriptions spécifiques de coulage de la chape</w:t>
      </w:r>
    </w:p>
    <w:p>
      <w:pPr/>
      <w:r>
        <w:rPr>
          <w:b/>
          <w:bCs/>
        </w:rPr>
        <w:t xml:space="preserve">Critères d'évaluation</w:t>
      </w:r>
    </w:p>
    <w:p>
      <w:pPr/>
      <w:r>
        <w:rPr/>
        <w:t xml:space="preserve">Vérification de la faisabilité des prescriptions auprès des chapistes</w:t>
      </w:r>
    </w:p>
    <w:p>
      <w:pPr>
        <w:ind w:left="720" w:right="0"/>
      </w:pPr>
      <w:r>
        <w:rPr>
          <w:rStyle w:val="font_h2"/>
        </w:rPr>
        <w:t xml:space="preserve">4.10. Mise en température</w:t>
      </w:r>
    </w:p>
    <w:p>
      <w:pPr/>
      <w:r>
        <w:rPr/>
        <w:t xml:space="preserve">Validé par le Groupe Spécialisé le 25/04/2017</w:t>
      </w:r>
    </w:p>
    <w:p>
      <w:pPr/>
      <w:r>
        <w:rPr>
          <w:b/>
          <w:bCs/>
        </w:rPr>
        <w:t xml:space="preserve">Description</w:t>
      </w:r>
    </w:p>
    <w:p>
      <w:pPr/>
      <w:r>
        <w:rPr/>
        <w:t xml:space="preserve">Description de la première mise en température</w:t>
      </w:r>
    </w:p>
    <w:p>
      <w:pPr>
        <w:ind w:left="720" w:right="0"/>
      </w:pPr>
      <w:r>
        <w:rPr>
          <w:rStyle w:val="font_h2"/>
        </w:rPr>
        <w:t xml:space="preserve">4.11. Mise en oeuvre des autres corps d'état</w:t>
      </w:r>
    </w:p>
    <w:p>
      <w:pPr>
        <w:ind w:left="1440" w:right="0"/>
      </w:pPr>
      <w:r>
        <w:rPr>
          <w:rStyle w:val="font_h3"/>
        </w:rPr>
        <w:t xml:space="preserve">4.11.1. Cas des cloisons</w:t>
      </w:r>
    </w:p>
    <w:p>
      <w:pPr/>
      <w:r>
        <w:rPr/>
        <w:t xml:space="preserve">Validé par le Groupe Spécialisé le 25/04/2017</w:t>
      </w:r>
    </w:p>
    <w:p>
      <w:pPr/>
      <w:r>
        <w:rPr>
          <w:b/>
          <w:bCs/>
        </w:rPr>
        <w:t xml:space="preserve">Description</w:t>
      </w:r>
    </w:p>
    <w:p>
      <w:pPr/>
      <w:r>
        <w:rPr/>
        <w:t xml:space="preserve">Description du type de cloison compatible avec le procédé</w:t>
      </w:r>
    </w:p>
    <w:p>
      <w:pPr>
        <w:ind w:left="1440" w:right="0"/>
      </w:pPr>
      <w:r>
        <w:rPr>
          <w:rStyle w:val="font_h3"/>
        </w:rPr>
        <w:t xml:space="preserve">4.11.2. Cas des revêtements de sol</w:t>
      </w:r>
    </w:p>
    <w:p>
      <w:pPr/>
      <w:r>
        <w:rPr/>
        <w:t xml:space="preserve">Validé par le Groupe Spécialisé le 26/09/2018</w:t>
      </w:r>
    </w:p>
    <w:p>
      <w:pPr/>
      <w:r>
        <w:rPr>
          <w:b/>
          <w:bCs/>
        </w:rPr>
        <w:t xml:space="preserve">Description</w:t>
      </w:r>
    </w:p>
    <w:p>
      <w:pPr/>
      <w:r>
        <w:rPr/>
        <w:t xml:space="preserve">Définition des critères de résistance thermique du revêtement de sol pour la conduction de la chaleur</w:t>
      </w:r>
    </w:p>
    <w:p>
      <w:pPr/>
      <w:r>
        <w:rPr>
          <w:b/>
          <w:bCs/>
        </w:rPr>
        <w:t xml:space="preserve">Critères d'évaluation</w:t>
      </w:r>
    </w:p>
    <w:p>
      <w:pPr/>
      <w:r>
        <w:rPr/>
        <w:t xml:space="preserve">Critères selon la NF DTU 65.14 et CPT 3164</w:t>
      </w:r>
    </w:p>
    <w:p>
      <w:pPr>
        <w:ind w:left="1440" w:right="0"/>
      </w:pPr>
      <w:r>
        <w:rPr>
          <w:rStyle w:val="font_h3"/>
        </w:rPr>
        <w:t xml:space="preserve">4.11.3. Cas des plinthes</w:t>
      </w:r>
    </w:p>
    <w:p>
      <w:pPr/>
      <w:r>
        <w:rPr/>
        <w:t xml:space="preserve">Validé par le Groupe Spécialisé le 25/04/2017</w:t>
      </w:r>
    </w:p>
    <w:p>
      <w:pPr/>
      <w:r>
        <w:rPr>
          <w:b/>
          <w:bCs/>
        </w:rPr>
        <w:t xml:space="preserve">Description</w:t>
      </w:r>
    </w:p>
    <w:p>
      <w:pPr/>
      <w:r>
        <w:rPr/>
        <w:t xml:space="preserve">Description de la pose des plinthes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DFD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7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1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FA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47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54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D6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EE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5B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5F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97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BF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2026-01-09T10:27:53+01:00</dcterms:created>
  <dcterms:modified xsi:type="dcterms:W3CDTF">2026-01-09T10:27:53+01:00</dcterms:modified>
</cp:coreProperties>
</file>

<file path=docProps/custom.xml><?xml version="1.0" encoding="utf-8"?>
<Properties xmlns="http://schemas.openxmlformats.org/officeDocument/2006/custom-properties" xmlns:vt="http://schemas.openxmlformats.org/officeDocument/2006/docPropsVTypes"/>
</file>