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font_default"/>
        </w:rPr>
        <w:t xml:space="preserve">Document entériné par le Groupe Spécialisé n° 20 - Édité le 02/05/2024</w:t>
      </w:r>
    </w:p>
    <w:p>
      <w:pPr>
        <w:pStyle w:val="paragraph_centered"/>
      </w:pPr>
      <w:r>
        <w:rPr>
          <w:rStyle w:val="font_h1"/>
        </w:rPr>
        <w:t xml:space="preserve">Liste minimale des éléments habituellement demandés par le Groupe Spécialisé</w:t>
      </w:r>
    </w:p>
    <w:p>
      <w:pPr/>
      <w:r>
        <w:rPr>
          <w:rStyle w:val="font_h2"/>
        </w:rPr>
        <w:t xml:space="preserve">Groupe Spécialisé n° 20 « Produits et procédés spéciaux d'isolation »</w:t>
      </w:r>
    </w:p>
    <w:p>
      <w:pPr/>
      <w:r>
        <w:rPr>
          <w:rStyle w:val="font_default"/>
        </w:rPr>
        <w:t xml:space="preserve">Famille de produits ou procédés : </w:t>
      </w:r>
      <w:r>
        <w:rPr>
          <w:rStyle w:val="font_h3"/>
        </w:rPr>
        <w:t xml:space="preserve">Isolation thermique sur plancher bas ou intermédiaire par projection in-situ de polyuréthane</w:t>
      </w:r>
    </w:p>
    <w:p>
      <w:pPr/>
      <w:r>
        <w:rPr>
          <w:rStyle w:val="font_h1"/>
        </w:rPr>
        <w:t xml:space="preserve">1. Généralité</w:t>
      </w:r>
    </w:p>
    <w:p>
      <w:pPr/>
      <w:r>
        <w:rPr>
          <w:rStyle w:val="font_h1"/>
        </w:rPr>
        <w:t xml:space="preserve">2. Principe et domaine d'emploi</w:t>
      </w:r>
    </w:p>
    <w:p>
      <w:pPr>
        <w:ind w:left="720" w:right="0"/>
      </w:pPr>
      <w:r>
        <w:rPr>
          <w:rStyle w:val="font_h2"/>
        </w:rPr>
        <w:t xml:space="preserve">2.1. Description du procédé</w:t>
      </w:r>
    </w:p>
    <w:p>
      <w:pPr>
        <w:ind w:left="720" w:right="0"/>
      </w:pPr>
      <w:r>
        <w:rPr>
          <w:rStyle w:val="font_h2"/>
        </w:rPr>
        <w:t xml:space="preserve">2.2. Domaine d'emploi</w:t>
      </w:r>
    </w:p>
    <w:p>
      <w:pPr/>
      <w:r>
        <w:rPr>
          <w:rStyle w:val="font_h1"/>
        </w:rPr>
        <w:t xml:space="preserve">3. Produit</w:t>
      </w:r>
    </w:p>
    <w:p>
      <w:pPr>
        <w:ind w:left="720" w:right="0"/>
      </w:pPr>
      <w:r>
        <w:rPr>
          <w:rStyle w:val="font_h2"/>
        </w:rPr>
        <w:t xml:space="preserve">3.1. Désignation commerciale</w:t>
      </w:r>
    </w:p>
    <w:p>
      <w:pPr>
        <w:ind w:left="720" w:right="0"/>
      </w:pPr>
      <w:r>
        <w:rPr>
          <w:rStyle w:val="font_h2"/>
        </w:rPr>
        <w:t xml:space="preserve">3.2. Composition du produit</w:t>
      </w:r>
    </w:p>
    <w:p>
      <w:pPr>
        <w:ind w:left="720" w:right="0"/>
      </w:pPr>
      <w:r>
        <w:rPr>
          <w:rStyle w:val="font_h2"/>
        </w:rPr>
        <w:t xml:space="preserve">3.3. Caractéristiques du produit</w:t>
      </w:r>
    </w:p>
    <w:p>
      <w:pPr>
        <w:ind w:left="1440" w:right="0"/>
      </w:pPr>
      <w:r>
        <w:rPr>
          <w:rStyle w:val="font_h3"/>
        </w:rPr>
        <w:t xml:space="preserve">3.3.1. Généralités</w:t>
      </w:r>
    </w:p>
    <w:p>
      <w:pPr>
        <w:ind w:left="1440" w:right="0"/>
      </w:pPr>
      <w:r>
        <w:rPr>
          <w:rStyle w:val="font_h3"/>
        </w:rPr>
        <w:t xml:space="preserve">3.3.2. Caractéristiques d'identification du produit</w:t>
      </w:r>
    </w:p>
    <w:p>
      <w:pPr>
        <w:ind w:left="2160" w:right="0"/>
      </w:pPr>
      <w:r>
        <w:rPr>
          <w:rStyle w:val="font_h3"/>
        </w:rPr>
        <w:t xml:space="preserve">3.3.2.1. Epaisseur</w:t>
      </w:r>
    </w:p>
    <w:p>
      <w:pPr>
        <w:ind w:left="2160" w:right="0"/>
      </w:pPr>
      <w:r>
        <w:rPr>
          <w:rStyle w:val="font_h3"/>
        </w:rPr>
        <w:t xml:space="preserve">3.3.2.2. Masse volumique</w:t>
      </w:r>
    </w:p>
    <w:p>
      <w:pPr>
        <w:ind w:left="1440" w:right="0"/>
      </w:pPr>
      <w:r>
        <w:rPr>
          <w:rStyle w:val="font_h3"/>
        </w:rPr>
        <w:t xml:space="preserve">3.3.3. Performances thermiques</w:t>
      </w:r>
    </w:p>
    <w:p>
      <w:pPr>
        <w:ind w:left="2160" w:right="0"/>
      </w:pPr>
      <w:r>
        <w:rPr>
          <w:rStyle w:val="font_h3"/>
        </w:rPr>
        <w:t xml:space="preserve">3.3.3.1. Généralités</w:t>
      </w:r>
    </w:p>
    <w:p>
      <w:pPr>
        <w:ind w:left="2160" w:right="0"/>
      </w:pPr>
      <w:r>
        <w:rPr>
          <w:rStyle w:val="font_h3"/>
        </w:rPr>
        <w:t xml:space="preserve">3.3.3.2. Détermination de la conductivité déclarée</w:t>
      </w:r>
    </w:p>
    <w:p>
      <w:pPr>
        <w:ind w:left="2160" w:right="0"/>
      </w:pPr>
      <w:r>
        <w:rPr>
          <w:rStyle w:val="font_h3"/>
        </w:rPr>
        <w:t xml:space="preserve">3.3.3.3. Détermination de la conductivité thermique utile</w:t>
      </w:r>
    </w:p>
    <w:p>
      <w:pPr>
        <w:ind w:left="2160" w:right="0"/>
      </w:pPr>
      <w:r>
        <w:rPr>
          <w:rStyle w:val="font_h3"/>
        </w:rPr>
        <w:t xml:space="preserve">3.3.3.4. Détermination de la résistance thermique</w:t>
      </w:r>
    </w:p>
    <w:p>
      <w:pPr>
        <w:ind w:left="2160" w:right="0"/>
      </w:pPr>
      <w:r>
        <w:rPr>
          <w:rStyle w:val="font_h3"/>
        </w:rPr>
        <w:t xml:space="preserve">3.3.3.5. Transmission de la vapeur d’eau et absorption d'eau</w:t>
      </w:r>
    </w:p>
    <w:p>
      <w:pPr>
        <w:ind w:left="1440" w:right="0"/>
      </w:pPr>
      <w:r>
        <w:rPr>
          <w:rStyle w:val="font_h3"/>
        </w:rPr>
        <w:t xml:space="preserve">3.3.4. Caractéristiques mécaniques (aptitude à l'emploi)</w:t>
      </w:r>
    </w:p>
    <w:p>
      <w:pPr>
        <w:ind w:left="2160" w:right="0"/>
      </w:pPr>
      <w:r>
        <w:rPr>
          <w:rStyle w:val="font_h3"/>
        </w:rPr>
        <w:t xml:space="preserve">3.3.4.1. Stabilité dimensionnelle</w:t>
      </w:r>
    </w:p>
    <w:p>
      <w:pPr>
        <w:ind w:left="2160" w:right="0"/>
      </w:pPr>
      <w:r>
        <w:rPr>
          <w:rStyle w:val="font_h3"/>
        </w:rPr>
        <w:t xml:space="preserve">3.3.4.2. Ecrasement sous charge</w:t>
      </w:r>
    </w:p>
    <w:p>
      <w:pPr>
        <w:ind w:left="1440" w:right="0"/>
      </w:pPr>
      <w:r>
        <w:rPr>
          <w:rStyle w:val="font_h3"/>
        </w:rPr>
        <w:t xml:space="preserve">3.3.5. Réaction au feu</w:t>
      </w:r>
    </w:p>
    <w:p>
      <w:pPr/>
      <w:r>
        <w:rPr>
          <w:rStyle w:val="font_h1"/>
        </w:rPr>
        <w:t xml:space="preserve">4. Mise en oeuvre</w:t>
      </w:r>
    </w:p>
    <w:p>
      <w:pPr>
        <w:ind w:left="720" w:right="0"/>
      </w:pPr>
      <w:r>
        <w:rPr>
          <w:rStyle w:val="font_h2"/>
        </w:rPr>
        <w:t xml:space="preserve">4.1. Généralités</w:t>
      </w:r>
    </w:p>
    <w:p>
      <w:pPr>
        <w:ind w:left="720" w:right="0"/>
      </w:pPr>
      <w:r>
        <w:rPr>
          <w:rStyle w:val="font_h2"/>
        </w:rPr>
        <w:t xml:space="preserve">4.2. Fiche relative au chantier réalisé</w:t>
      </w:r>
    </w:p>
    <w:p>
      <w:pPr>
        <w:ind w:left="720" w:right="0"/>
      </w:pPr>
      <w:r>
        <w:rPr>
          <w:rStyle w:val="font_h2"/>
        </w:rPr>
        <w:t xml:space="preserve">4.3. Assistance technique et formation</w:t>
      </w:r>
    </w:p>
    <w:p>
      <w:pPr>
        <w:ind w:left="720" w:right="0"/>
      </w:pPr>
      <w:r>
        <w:rPr>
          <w:rStyle w:val="font_h2"/>
        </w:rPr>
        <w:t xml:space="preserve">4.4. Préparation du chantier</w:t>
      </w:r>
    </w:p>
    <w:p>
      <w:pPr>
        <w:ind w:left="720" w:right="0"/>
      </w:pPr>
      <w:r>
        <w:rPr>
          <w:rStyle w:val="font_h2"/>
        </w:rPr>
        <w:t xml:space="preserve">4.5. Reconnaissance du support et conditions de mise en oeuvre</w:t>
      </w:r>
    </w:p>
    <w:p>
      <w:pPr>
        <w:ind w:left="1440" w:right="0"/>
      </w:pPr>
      <w:r>
        <w:rPr>
          <w:rStyle w:val="font_h3"/>
        </w:rPr>
        <w:t xml:space="preserve">4.5.1. Reconnaissance du support</w:t>
      </w:r>
    </w:p>
    <w:p>
      <w:pPr>
        <w:ind w:left="1440" w:right="0"/>
      </w:pPr>
      <w:r>
        <w:rPr>
          <w:rStyle w:val="font_h3"/>
        </w:rPr>
        <w:t xml:space="preserve">4.5.2. Conditions de mise en oeuvre</w:t>
      </w:r>
    </w:p>
    <w:p>
      <w:pPr>
        <w:ind w:left="1440" w:right="0"/>
      </w:pPr>
      <w:r>
        <w:rPr>
          <w:rStyle w:val="font_h3"/>
        </w:rPr>
        <w:t xml:space="preserve">4.5.3. Protection du chantier avant projection</w:t>
      </w:r>
    </w:p>
    <w:p>
      <w:pPr>
        <w:ind w:left="720" w:right="0"/>
      </w:pPr>
      <w:r>
        <w:rPr>
          <w:rStyle w:val="font_h2"/>
        </w:rPr>
        <w:t xml:space="preserve">4.6. Prescriptions à suivre pendant la projection</w:t>
      </w:r>
    </w:p>
    <w:p>
      <w:pPr>
        <w:ind w:left="720" w:right="0"/>
      </w:pPr>
      <w:r>
        <w:rPr>
          <w:rStyle w:val="font_h2"/>
        </w:rPr>
        <w:t xml:space="preserve">4.7. Prescriptions à suivre après la projection</w:t>
      </w:r>
    </w:p>
    <w:p>
      <w:pPr>
        <w:ind w:left="720" w:right="0"/>
      </w:pPr>
      <w:r>
        <w:rPr>
          <w:rStyle w:val="font_h2"/>
        </w:rPr>
        <w:t xml:space="preserve">4.8. Spécifications relatives à la mise en place d'un ouvrage de recouvrement sur le procédé</w:t>
      </w:r>
    </w:p>
    <w:p>
      <w:pPr>
        <w:ind w:left="720" w:right="0"/>
      </w:pPr>
      <w:r>
        <w:rPr>
          <w:rStyle w:val="font_h2"/>
        </w:rPr>
        <w:t xml:space="preserve">4.9. Spécifications relatives à la mise en place de planchers chauffants et planchers réversibles</w:t>
      </w:r>
    </w:p>
    <w:p>
      <w:pPr>
        <w:ind w:left="720" w:right="0"/>
      </w:pPr>
      <w:r>
        <w:rPr>
          <w:rStyle w:val="font_h2"/>
        </w:rPr>
        <w:t xml:space="preserve">4.10. Chantiers de référence</w:t>
      </w:r>
    </w:p>
    <w:p>
      <w:pPr>
        <w:ind w:left="720" w:right="0"/>
      </w:pPr>
      <w:r>
        <w:rPr>
          <w:rStyle w:val="font_h2"/>
        </w:rPr>
        <w:t xml:space="preserve">4.11. Prévention des accidents et des risques lors de la mise en œuvre et de l'entretien</w:t>
      </w:r>
    </w:p>
    <w:p>
      <w:pPr/>
      <w:r>
        <w:rPr>
          <w:rStyle w:val="font_h1"/>
        </w:rPr>
        <w:t xml:space="preserve">5. Fabrication</w:t>
      </w:r>
    </w:p>
    <w:p>
      <w:pPr>
        <w:ind w:left="720" w:right="0"/>
      </w:pPr>
      <w:r>
        <w:rPr>
          <w:rStyle w:val="font_h2"/>
        </w:rPr>
        <w:t xml:space="preserve">5.1. Usine de fabrication</w:t>
      </w:r>
    </w:p>
    <w:p>
      <w:pPr>
        <w:ind w:left="720" w:right="0"/>
      </w:pPr>
      <w:r>
        <w:rPr>
          <w:rStyle w:val="font_h2"/>
        </w:rPr>
        <w:t xml:space="preserve">5.2. Description du process de fabrication</w:t>
      </w:r>
    </w:p>
    <w:p>
      <w:pPr>
        <w:ind w:left="720" w:right="0"/>
      </w:pPr>
      <w:r>
        <w:rPr>
          <w:rStyle w:val="font_h2"/>
        </w:rPr>
        <w:t xml:space="preserve">5.3. Livraison</w:t>
      </w:r>
    </w:p>
    <w:p>
      <w:pPr>
        <w:ind w:left="720" w:right="0"/>
      </w:pPr>
      <w:r>
        <w:rPr>
          <w:rStyle w:val="font_h2"/>
        </w:rPr>
        <w:t xml:space="preserve">5.4. Conditionnement</w:t>
      </w:r>
    </w:p>
    <w:p>
      <w:pPr>
        <w:ind w:left="720" w:right="0"/>
      </w:pPr>
      <w:r>
        <w:rPr>
          <w:rStyle w:val="font_h2"/>
        </w:rPr>
        <w:t xml:space="preserve">5.5. Stockage</w:t>
      </w:r>
    </w:p>
    <w:p>
      <w:pPr>
        <w:ind w:left="720" w:right="0"/>
      </w:pPr>
      <w:r>
        <w:rPr>
          <w:rStyle w:val="font_h2"/>
        </w:rPr>
        <w:t xml:space="preserve">5.6. Etiquetage – Identification des composants du produit</w:t>
      </w:r>
    </w:p>
    <w:p>
      <w:pPr/>
      <w:r>
        <w:rPr>
          <w:rStyle w:val="font_h1"/>
        </w:rPr>
        <w:t xml:space="preserve">6. Contrôles</w:t>
      </w:r>
    </w:p>
    <w:p>
      <w:pPr>
        <w:ind w:left="720" w:right="0"/>
      </w:pPr>
      <w:r>
        <w:rPr>
          <w:rStyle w:val="font_h2"/>
        </w:rPr>
        <w:t xml:space="preserve">6.1. Contrôles réalisés par le Demandeur / Titulaire à partir d’échantillons prélevés sur chantier</w:t>
      </w:r>
    </w:p>
    <w:p>
      <w:pPr>
        <w:ind w:left="720" w:right="0"/>
      </w:pPr>
      <w:r>
        <w:rPr>
          <w:rStyle w:val="font_h2"/>
        </w:rPr>
        <w:t xml:space="preserve">6.2. Contrôles sur chantier réalisés par l'applicateur</w:t>
      </w:r>
    </w:p>
    <w:p>
      <w:pPr>
        <w:ind w:left="720" w:right="0"/>
      </w:pPr>
      <w:r>
        <w:rPr>
          <w:rStyle w:val="font_h2"/>
        </w:rPr>
        <w:t xml:space="preserve">6.3. Essais réalisés par l’organisme tiers dans le cadre du suivi de la constance des performances</w:t>
      </w:r>
    </w:p>
    <w:p>
      <w:pPr>
        <w:ind w:left="720" w:right="0"/>
      </w:pPr>
      <w:r>
        <w:rPr>
          <w:rStyle w:val="font_h2"/>
        </w:rPr>
        <w:t xml:space="preserve">6.4. Suivi par l’organisme tiers des contrôles en usine et sur chantier</w:t>
      </w:r>
    </w:p>
    <w:p>
      <w:pPr>
        <w:ind w:left="720" w:right="0"/>
      </w:pPr>
      <w:r>
        <w:rPr>
          <w:rStyle w:val="font_h2"/>
        </w:rPr>
        <w:t xml:space="preserve">6.5. Contrôles sur les composants</w:t>
      </w:r>
    </w:p>
    <w:p>
      <w:pPr/>
      <w:r>
        <w:rPr>
          <w:rStyle w:val="font_h1"/>
        </w:rPr>
        <w:t xml:space="preserve">7. Annexes</w:t>
      </w:r>
    </w:p>
    <w:p>
      <w:pPr>
        <w:ind w:left="720" w:right="0"/>
      </w:pPr>
      <w:r>
        <w:rPr>
          <w:rStyle w:val="font_h2"/>
        </w:rPr>
        <w:t xml:space="preserve">7.1. Annexe A1. Méthode d'extrapolation des essais de fluage pour les produits en polyuréthane projeté in-situ</w:t>
      </w:r>
    </w:p>
    <w:p>
      <w:pPr>
        <w:ind w:left="720" w:right="0"/>
      </w:pPr>
      <w:r>
        <w:rPr>
          <w:rStyle w:val="font_h2"/>
        </w:rPr>
        <w:t xml:space="preserve">7.2. Annexe A2. Position Paper du SG 19 n°CPR/SG19-17/167-r2 (janvier 2018)</w:t>
      </w:r>
    </w:p>
    <w:p>
      <w:pPr>
        <w:ind w:left="720" w:right="0"/>
      </w:pPr>
      <w:r>
        <w:rPr>
          <w:rStyle w:val="font_h2"/>
        </w:rPr>
        <w:t xml:space="preserve">7.3. Annexe A3. Position Paper du SG 19 n°CPR/SG19-22/213-r1 (décembre 2022)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_footer"/>
    </w:pPr>
    <w:r>
      <w:rPr>
        <w:rStyle w:val="font_footer"/>
      </w:rPr>
      <w:t xml:space="preserve">Secrétariat : 84 avenue Jean-Jaurès – Champs-sur-Marne – F-77447 Marne-la-Vallée Cedex 2</w:t>
    </w:r>
    <w:br/>
    <w:r>
      <w:rPr>
        <w:rStyle w:val="font_footer"/>
      </w:rPr>
      <w:t xml:space="preserve">Tel : (33)01.64.68.85.60 - Fax : (33)01.64.68.85.65</w:t>
    </w:r>
    <w:br/>
    <w:r>
      <w:rPr>
        <w:rStyle w:val="font_footer"/>
      </w:rPr>
      <w:t xml:space="preserve">Serveur Internet : http://www.cstb.fr - E-mail : secretariat.at@cstb.fr</w:t>
    </w:r>
    <w:br/>
  </w:p>
  <w:p>
    <w:pPr>
      <w:pStyle w:val="paragraph_footer"/>
    </w:pPr>
    <w:r>
      <w:rPr>
        <w:rStyle w:val="font_footer"/>
      </w:rPr>
      <w:t xml:space="preserve">Page </w:t>
    </w:r>
    <w:r>
      <w:fldChar w:fldCharType="begin"/>
    </w:r>
    <w:r>
      <w:rPr>
        <w:rStyle w:val="font_footer"/>
      </w:rPr>
      <w:instrText xml:space="preserve">PAGE</w:instrText>
    </w:r>
    <w:r>
      <w:fldChar w:fldCharType="separate"/>
    </w:r>
    <w:r>
      <w:fldChar w:fldCharType="end"/>
    </w:r>
    <w:r>
      <w:rPr>
        <w:rStyle w:val="font_footer"/>
      </w:rPr>
      <w:t xml:space="preserve"> sur </w:t>
    </w:r>
    <w:r>
      <w:fldChar w:fldCharType="begin"/>
    </w:r>
    <w:r>
      <w:rPr>
        <w:rStyle w:val="font_footer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</w:p>
  <w:p>
    <w:pPr/>
    <w:r>
      <w:pict>
        <v:shape type="#_x0000_t75" style="width:170pt; height:60pt; margin-left:0pt; margin-top:0pt; mso-position-horizontal:left; mso-position-vertical:top; mso-position-horizontal-relative:char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font_default">
    <w:name w:val="font_default"/>
    <w:basedOn w:val="Normal"/>
    <w:pPr>
      <w:spacing w:line="240" w:lineRule="auto"/>
    </w:pPr>
    <w:rPr>
      <w:rFonts w:ascii="Calibri" w:hAnsi="Calibri" w:eastAsia="Calibri" w:cs="Calibri"/>
      <w:color w:val="000000"/>
      <w:sz w:val="22"/>
      <w:szCs w:val="22"/>
    </w:rPr>
  </w:style>
  <w:style w:type="character">
    <w:name w:val="font_h1"/>
    <w:rPr>
      <w:rFonts w:ascii="Calibri" w:hAnsi="Calibri" w:eastAsia="Calibri" w:cs="Calibri"/>
      <w:color w:val="000000"/>
      <w:sz w:val="28"/>
      <w:szCs w:val="28"/>
      <w:b/>
      <w:bCs/>
    </w:rPr>
  </w:style>
  <w:style w:type="character">
    <w:name w:val="font_h2"/>
    <w:rPr>
      <w:rFonts w:ascii="Calibri" w:hAnsi="Calibri" w:eastAsia="Calibri" w:cs="Calibri"/>
      <w:color w:val="000000"/>
      <w:sz w:val="24"/>
      <w:szCs w:val="24"/>
      <w:b/>
      <w:bCs/>
    </w:rPr>
  </w:style>
  <w:style w:type="character">
    <w:name w:val="font_h3"/>
    <w:rPr>
      <w:rFonts w:ascii="Calibri" w:hAnsi="Calibri" w:eastAsia="Calibri" w:cs="Calibri"/>
      <w:color w:val="000000"/>
      <w:sz w:val="22"/>
      <w:szCs w:val="22"/>
      <w:b/>
      <w:bCs/>
    </w:rPr>
  </w:style>
  <w:style w:type="character">
    <w:name w:val="font_footer"/>
    <w:rPr>
      <w:rFonts w:ascii="Calibri" w:hAnsi="Calibri" w:eastAsia="Calibri" w:cs="Calibri"/>
      <w:color w:val="000000"/>
      <w:sz w:val="20"/>
      <w:szCs w:val="20"/>
    </w:rPr>
  </w:style>
  <w:style w:type="paragraph" w:customStyle="1" w:styleId="paragraph_centered">
    <w:name w:val="paragraph_centered"/>
    <w:basedOn w:val="Normal"/>
    <w:pPr>
      <w:jc w:val="center"/>
    </w:pPr>
  </w:style>
  <w:style w:type="paragraph" w:customStyle="1" w:styleId="paragraph_footer">
    <w:name w:val="paragraph_footer"/>
    <w:basedOn w:val="Normal"/>
    <w:pPr>
      <w:jc w:val="center"/>
      <w:spacing w:after="0" w:line="240" w:lineRule="auto"/>
    </w:pPr>
  </w:style>
  <w:style w:type="table" w:customStyle="1" w:styleId="table">
    <w:name w:val="table"/>
    <w:uiPriority w:val="99"/>
    <w:tblPr>
      <w:tblW w:w="0" w:type="auto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444444"/>
        <w:left w:val="single" w:sz="6" w:color="444444"/>
        <w:right w:val="single" w:sz="6" w:color="444444"/>
        <w:bottom w:val="single" w:sz="6" w:color="444444"/>
        <w:insideH w:val="single" w:sz="6" w:color="444444"/>
        <w:insideV w:val="single" w:sz="6" w:color="44444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2024-05-02T00:04:00+02:00</dcterms:created>
  <dcterms:modified xsi:type="dcterms:W3CDTF">2024-05-02T00:04:00+02:00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