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à base de fibres végétales ou animales</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Contrôles en usine</w:t>
      </w:r>
    </w:p>
    <w:p>
      <w:pPr>
        <w:ind w:left="720" w:right="0"/>
      </w:pPr>
      <w:r>
        <w:rPr>
          <w:rStyle w:val="font_h2"/>
        </w:rPr>
        <w:t xml:space="preserve">5.3. Contrôles sur chantier</w:t>
      </w:r>
    </w:p>
    <w:p>
      <w:pPr>
        <w:ind w:left="1440" w:right="0"/>
      </w:pPr>
      <w:r>
        <w:rPr>
          <w:rStyle w:val="font_h3"/>
        </w:rPr>
        <w:t xml:space="preserve">5.3.1. Masse d'isolant mis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ind w:left="720" w:right="0"/>
      </w:pPr>
      <w:r>
        <w:rPr>
          <w:rStyle w:val="font_h2"/>
        </w:rPr>
        <w:t xml:space="preserve">6.6. Mise en oeuvre en cloisons distributives entre deux locaux chauffés en même temps</w:t>
      </w:r>
    </w:p>
    <w:p>
      <w:pPr/>
      <w:r>
        <w:rPr/>
        <w:t xml:space="preserve">Validé par le Groupe Spécialisé le 13/05/2025</w:t>
      </w:r>
    </w:p>
    <w:p>
      <w:pPr/>
      <w:r>
        <w:rPr>
          <w:b/>
          <w:bCs/>
        </w:rPr>
        <w:t xml:space="preserve">Description</w:t>
      </w:r>
    </w:p>
    <w:p>
      <w:pPr/>
      <w:r>
        <w:rPr/>
        <w:t xml:space="preserve">Dans le cas où les cloisons distributives sont visées, décrire leur mise en oeuvre (avec schémas). </w:t>
      </w:r>
    </w:p>
    <w:p>
      <w:pPr/>
      <w:r>
        <w:rPr/>
        <w:t xml:space="preserve">Justifier l'absence de contrainte sur les plaques de plâtre des cloisons distributives due à l’incorporation des gaines électriques (par exemple par un tableau des épaisseurs d'isolants en fonction de types/épaisseurs de montants, etc.).</w:t>
      </w:r>
    </w:p>
    <w:p>
      <w:pPr/>
      <w:r>
        <w:rPr/>
        <w:t xml:space="preserve">Dans le cas d'utilisation en cloison distributive entre deux locaux chauffés en même temps, l'utilisation d'un pare-vapeur n'est pas obligatoire.</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2026-06-17T09:48:47+02:00</dcterms:created>
  <dcterms:modified xsi:type="dcterms:W3CDTF">2026-06-17T09:48:47+02:00</dcterms:modified>
</cp:coreProperties>
</file>

<file path=docProps/custom.xml><?xml version="1.0" encoding="utf-8"?>
<Properties xmlns="http://schemas.openxmlformats.org/officeDocument/2006/custom-properties" xmlns:vt="http://schemas.openxmlformats.org/officeDocument/2006/docPropsVTypes"/>
</file>