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10/03/2026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de mur en panneau ou rouleau des produits à base de fibres végétales ou animales</w:t>
      </w:r>
    </w:p>
    <w:p>
      <w:pPr/>
      <w:r>
        <w:rPr>
          <w:rStyle w:val="font_h1"/>
        </w:rPr>
        <w:t xml:space="preserve">1. Domaine d'emploi</w:t>
      </w:r>
    </w:p>
    <w:p>
      <w:pPr>
        <w:ind w:left="720" w:right="0"/>
      </w:pPr>
      <w:r>
        <w:rPr>
          <w:rStyle w:val="font_h2"/>
        </w:rPr>
        <w:t xml:space="preserve">1.1. Généralités</w:t>
      </w:r>
    </w:p>
    <w:p>
      <w:pPr/>
      <w:r>
        <w:rPr/>
        <w:t xml:space="preserve">Validé par le Groupe Spécialisé le 13/05/2025</w:t>
      </w:r>
    </w:p>
    <w:p>
      <w:pPr/>
      <w:r>
        <w:rPr>
          <w:b/>
          <w:bCs/>
        </w:rPr>
        <w:t xml:space="preserve">Description</w:t>
      </w:r>
    </w:p>
    <w:p>
      <w:pPr/>
      <w:r>
        <w:rPr/>
        <w:t xml:space="preserve">Le domaine d’emploi du procédé doit être décrit conformément au § 2 du CPT 3728_V2 « Isolation thermique des murs par l'intérieur : procédés d'isolation à l'aide de produits manufacturés à base de fibres végétales faisant l'objet d'un Avis Technique ou d'un Document Technique d'Application».</w:t>
      </w:r>
    </w:p>
    <w:p>
      <w:pPr>
        <w:ind w:left="720" w:right="0"/>
      </w:pPr>
      <w:r>
        <w:rPr>
          <w:rStyle w:val="font_h2"/>
        </w:rPr>
        <w:t xml:space="preserve">1.2. Zone géographique</w:t>
      </w:r>
    </w:p>
    <w:p>
      <w:pPr/>
      <w:r>
        <w:rPr/>
        <w:t xml:space="preserve">Validé par le Groupe Spécialisé le 13/05/2025</w:t>
      </w:r>
    </w:p>
    <w:p>
      <w:pPr/>
      <w:r>
        <w:rPr>
          <w:b/>
          <w:bCs/>
        </w:rPr>
        <w:t xml:space="preserve">Description</w:t>
      </w:r>
    </w:p>
    <w:p>
      <w:pPr/>
      <w:r>
        <w:rPr/>
        <w:t xml:space="preserve">Préciser les zones climatiques où le procédé peut être utilisé (France métropolitaine, climat de plaine et de montagne, zone très froide ).</w:t>
      </w:r>
    </w:p>
    <w:p>
      <w:pPr/>
      <w:r>
        <w:rPr>
          <w:b/>
          <w:bCs/>
        </w:rPr>
        <w:t xml:space="preserve">Note</w:t>
      </w:r>
      <w:r>
        <w:rPr/>
        <w:t xml:space="preserve"> : une zone très froide est définie par une température de base strictement inférieure à – 15 °C (NF P 52-612/CN). Les départements de la zone très froide sont :</w:t>
      </w:r>
    </w:p>
    <w:p>
      <w:pPr>
        <w:pPr/>
        <w:numPr>
          <w:ilvl w:val="0"/>
          <w:numId w:val="9"/>
        </w:numPr>
      </w:pPr>
      <w:r>
        <w:rPr/>
        <w:t xml:space="preserve">Le Bas-Rhin, le Haut-Rhin, les Vosges, le Territoire de Belfort, la Moselle et la Meurthe-et-Moselle pour les altitudes &gt; 400 m.</w:t>
      </w:r>
    </w:p>
    <w:p>
      <w:pPr>
        <w:pPr/>
        <w:numPr>
          <w:ilvl w:val="0"/>
          <w:numId w:val="9"/>
        </w:numPr>
      </w:pPr>
      <w:r>
        <w:rPr/>
        <w:t xml:space="preserve">Le Doubs pour les altitudes &gt; 600 m.</w:t>
      </w:r>
    </w:p>
    <w:p>
      <w:pPr>
        <w:pPr/>
        <w:numPr>
          <w:ilvl w:val="0"/>
          <w:numId w:val="9"/>
        </w:numPr>
      </w:pPr>
      <w:r>
        <w:rPr/>
        <w:t xml:space="preserve">L'Ain, les Hautes-Alpes, l'Isère, le Jura, la Loire, la Nièvre, le Rhône, la Haute-Saône, la Saône-et-Loire, la Savoie et la Haute-Savoie pour les altitudes &gt; 800 m.</w:t>
      </w:r>
    </w:p>
    <w:p>
      <w:pPr/>
      <w:r>
        <w:rPr/>
        <w:t xml:space="preserve">Les zones en climat de montagne, qui sont définies pour une altitude strictement supérieure à 900 m, sont considérées comme zone très froide.</w:t>
      </w:r>
    </w:p>
    <w:p>
      <w:pPr>
        <w:ind w:left="720" w:right="0"/>
      </w:pPr>
      <w:r>
        <w:rPr>
          <w:rStyle w:val="font_h2"/>
        </w:rPr>
        <w:t xml:space="preserve">1.3. Ouvrages visés</w:t>
      </w:r>
    </w:p>
    <w:p>
      <w:pPr/>
      <w:r>
        <w:rPr/>
        <w:t xml:space="preserve">Validé par le Groupe Spécialisé le 13/05/2025</w:t>
      </w:r>
    </w:p>
    <w:p>
      <w:pPr/>
      <w:r>
        <w:rPr>
          <w:b/>
          <w:bCs/>
        </w:rPr>
        <w:t xml:space="preserve">Description</w:t>
      </w:r>
    </w:p>
    <w:p>
      <w:pPr/>
      <w:r>
        <w:rPr/>
        <w:t xml:space="preserve">Décrire les ouvrages visés suivants :</w:t>
      </w:r>
    </w:p>
    <w:p>
      <w:pPr/>
      <w:r>
        <w:rPr/>
        <w:t xml:space="preserve">o   </w:t>
      </w:r>
      <w:r>
        <w:rPr>
          <w:b/>
          <w:bCs/>
        </w:rPr>
        <w:t xml:space="preserve">Type de bâtiment</w:t>
      </w:r>
      <w:r>
        <w:rPr/>
        <w:t xml:space="preserve"> : Indiquer si le produit est utilisé en construction neuve ou en rénovation, ainsi que les types de bâtiments concernés (habitations individuelles et collectives, ERP, bâtiments relevant du Code du Travail, etc.). ;</w:t>
      </w:r>
    </w:p>
    <w:p>
      <w:pPr/>
      <w:r>
        <w:rPr/>
        <w:t xml:space="preserve">o   </w:t>
      </w:r>
      <w:r>
        <w:rPr>
          <w:b/>
          <w:bCs/>
        </w:rPr>
        <w:t xml:space="preserve">Type de locaux</w:t>
      </w:r>
      <w:r>
        <w:rPr/>
        <w:t xml:space="preserve"> : Mentionner les conditions hygrométriques des locaux visés (faible, moyenne, forte, très forte hygrométrie).</w:t>
      </w:r>
    </w:p>
    <w:p>
      <w:pPr/>
      <w:r>
        <w:rPr/>
        <w:t xml:space="preserve">o   </w:t>
      </w:r>
      <w:r>
        <w:rPr>
          <w:b/>
          <w:bCs/>
        </w:rPr>
        <w:t xml:space="preserve">Type de support</w:t>
      </w:r>
      <w:r>
        <w:rPr/>
        <w:t xml:space="preserve"> : Les supports pouvant être visés par une application par l’intérieur sont les suivants : </w:t>
      </w:r>
    </w:p>
    <w:p>
      <w:pPr>
        <w:pPr/>
        <w:numPr>
          <w:ilvl w:val="0"/>
          <w:numId w:val="10"/>
        </w:numPr>
      </w:pPr>
      <w:r>
        <w:rPr/>
        <w:t xml:space="preserve">murs en maçonnerie de petits éléments conformes à la norme NF DTU 20.1</w:t>
      </w:r>
      <w:br/>
      <w:r>
        <w:rPr/>
        <w:t xml:space="preserve">   murs isolés par l'intérieur, de type I, conformément au § 3.3.1.1 de la norme NF DTU 20.1 P3, avec un enduit extérieur monocouche conforme à la NF EN 998-1, classé Wc2 en absorption d'eau par capillarité. Son épaisseur est conforme au § 6.2.2 de la norme NF DTU 26.1 P1-1. La mise en œuvre de l'enduit est réalisée conformément à la norme NF DTU 26.1 P1-1. Conformément à la norme NF DTU 20.1 P3, l'emploi en murs de type I est limité en fonction de l'exposition à la pluie et au vent (cette exposition est fonction de la situation de la construction, de la hauteur de la construction au-dessus du sol, de la présence ou non d'une protection contre le vent), et de l'épaisseur du mur dépendant du matériau employé. Point de vigilance : veiller à la protection contre les remontées d'humidité en provenance du sol avec la mise en œuvre, le cas échéant, d'une coupure de capillarité (NF DTU 20.1 P1 -1, § 5.6.3) ;   murs isolés par l'intérieur de type IV ;</w:t>
      </w:r>
    </w:p>
    <w:p>
      <w:pPr>
        <w:pPr/>
        <w:numPr>
          <w:ilvl w:val="0"/>
          <w:numId w:val="10"/>
        </w:numPr>
      </w:pPr>
      <w:r>
        <w:rPr/>
        <w:t xml:space="preserve">murs en béton banché à granulat courant conformes au DTU 23.1 :   murs isolés par l'intérieur, de type I selon la norme NF DTU 21 P3. Conformément à cette norme, l'emploi en murs de type I est limité en fonction de l'exposition à la pluie et au vent ;   murs isolés par l'intérieur de type IV ;</w:t>
      </w:r>
    </w:p>
    <w:p>
      <w:pPr>
        <w:pPr/>
        <w:numPr>
          <w:ilvl w:val="0"/>
          <w:numId w:val="10"/>
        </w:numPr>
      </w:pPr>
      <w:r>
        <w:rPr/>
        <w:t xml:space="preserve">murs de construction à ossature bois avec un revêtement extérieur possédant une lame d'air ventilée, conformes à la norme NF DTU 31.2. </w:t>
      </w:r>
    </w:p>
    <w:p>
      <w:pPr/>
      <w:r>
        <w:rPr/>
        <w:t xml:space="preserve">Les murs humides ou présentant des remontées d'humidité ne peuvent être isolés avec ces procédés qu'après traitement et assainissement.</w:t>
      </w:r>
    </w:p>
    <w:p>
      <w:pPr/>
      <w:r>
        <w:rPr/>
        <w:t xml:space="preserve">Toute autre configuration non répertoriée dans la liste ci-dessus devra être justifiée (par ex. étude hygrothermique  selon le guide de Détermination des hypothèses pour les simulations de transferts couples température / humidité dans les parois de bâtiment (SimHuBat) - Pacte d’octobre 2021). </w:t>
      </w:r>
    </w:p>
    <w:p>
      <w:pPr/>
      <w:r>
        <w:rPr/>
        <w:t xml:space="preserve">o   </w:t>
      </w:r>
      <w:r>
        <w:rPr>
          <w:b/>
          <w:bCs/>
        </w:rPr>
        <w:t xml:space="preserve">Type de parements</w:t>
      </w:r>
      <w:r>
        <w:rPr/>
        <w:t xml:space="preserve"> : Détailler les parements intérieurs revendiqués  (plaques de plâtre NF DTU 25.41, panneaux de particules bois, etc.).</w:t>
      </w:r>
    </w:p>
    <w:p>
      <w:pPr/>
      <w:r>
        <w:rPr/>
        <w:t xml:space="preserve">Le demandeur doit justifier également le domaine d'emploi vis-à-vis de la sécurité incendie selon le type de bâtiment (bâtiments d'habitation, relevant du code de travail et aux ERP) :    </w:t>
      </w:r>
    </w:p>
    <w:p>
      <w:pPr>
        <w:pPr/>
        <w:numPr>
          <w:ilvl w:val="0"/>
          <w:numId w:val="11"/>
        </w:numPr>
      </w:pPr>
      <w:r>
        <w:rPr/>
        <w:t xml:space="preserve">Guide de l'isolation par l'intérieur des bâtiments d'habitation du point de vue des risques en cas d'incendie pour las bâtiments d’habitation  </w:t>
      </w:r>
    </w:p>
    <w:p>
      <w:pPr>
        <w:pPr/>
        <w:numPr>
          <w:ilvl w:val="0"/>
          <w:numId w:val="11"/>
        </w:numPr>
      </w:pPr>
      <w:r>
        <w:rPr/>
        <w:t xml:space="preserve">Guide d'emploi des isolants combustibles dans les établissements recevant du public) (Guide modifié par l'arrêté du 24 septembre 2009) pour les ÉRP</w:t>
      </w:r>
    </w:p>
    <w:p>
      <w:pPr/>
      <w:r>
        <w:rPr>
          <w:rStyle w:val="font_h1"/>
        </w:rPr>
        <w:t xml:space="preserve">2. Mode de commercialisation</w:t>
      </w:r>
    </w:p>
    <w:p>
      <w:pPr>
        <w:ind w:left="720" w:right="0"/>
      </w:pPr>
      <w:r>
        <w:rPr>
          <w:rStyle w:val="font_h2"/>
        </w:rPr>
        <w:t xml:space="preserve">2.1. Coordonnées</w:t>
      </w:r>
    </w:p>
    <w:p>
      <w:pPr/>
      <w:r>
        <w:rPr/>
        <w:t xml:space="preserve">Validé par le Groupe Spécialisé le 13/05/2025</w:t>
      </w:r>
    </w:p>
    <w:p>
      <w:pPr/>
      <w:r>
        <w:rPr>
          <w:b/>
          <w:bCs/>
        </w:rPr>
        <w:t xml:space="preserve">Description</w:t>
      </w:r>
    </w:p>
    <w:p>
      <w:pPr/>
      <w:r>
        <w:rPr/>
        <w:t xml:space="preserve">Fournir les coordonnées du Titulaire de l’AT/DTA et du Distributeur du procédé.</w:t>
      </w:r>
    </w:p>
    <w:p>
      <w:pPr>
        <w:ind w:left="720" w:right="0"/>
      </w:pPr>
      <w:r>
        <w:rPr>
          <w:rStyle w:val="font_h2"/>
        </w:rPr>
        <w:t xml:space="preserve">2.2. Dénominations commerciales</w:t>
      </w:r>
    </w:p>
    <w:p>
      <w:pPr/>
      <w:r>
        <w:rPr/>
        <w:t xml:space="preserve">Validé par le Groupe Spécialisé le 13/05/2025</w:t>
      </w:r>
    </w:p>
    <w:p>
      <w:pPr/>
      <w:r>
        <w:rPr>
          <w:b/>
          <w:bCs/>
        </w:rPr>
        <w:t xml:space="preserve">Description</w:t>
      </w:r>
    </w:p>
    <w:p>
      <w:pPr/>
      <w:r>
        <w:rPr/>
        <w:t xml:space="preserve">La description de la commercialisation doit être clairement définie.La désignation commerciale du produit intégrant le procédé doit être mentionnée dans tous les éléments de justification (rapports d’essais, d’études, etc.) cités dans l’Avis Technique. Dans le cas d’un changement de désignation commerciale du produit/procédé entre le moment de l’essai/étude et la demande d’AT/DTA (à l’exception des éléments de justification liés à une exigence règlementaire, par exemple APL ou rapport de classement de réaction au feu), le Demandeur devra fournir un courrier d’engagement attestant de l'identité stricte du produit ou procédé (formulation, composition, fabrication, performance) sous les deux appellations différentes.</w:t>
      </w:r>
    </w:p>
    <w:p>
      <w:pPr>
        <w:ind w:left="720" w:right="0"/>
      </w:pPr>
      <w:r>
        <w:rPr>
          <w:rStyle w:val="font_h2"/>
        </w:rPr>
        <w:t xml:space="preserve">2.3. Mise sur le marché</w:t>
      </w:r>
    </w:p>
    <w:p>
      <w:pPr/>
      <w:r>
        <w:rPr/>
        <w:t xml:space="preserve">Validé par le Groupe Spécialisé le 13/05/2025</w:t>
      </w:r>
    </w:p>
    <w:p>
      <w:pPr/>
      <w:r>
        <w:rPr>
          <w:b/>
          <w:bCs/>
        </w:rPr>
        <w:t xml:space="preserve">Description</w:t>
      </w:r>
    </w:p>
    <w:p>
      <w:pPr/>
      <w:r>
        <w:rPr/>
        <w:t xml:space="preserve">Lister toutes les informations à renseigner sur les étiquettes des composants du produit/procédé. Par exemple :•   Nom du produit,•   Code de fabrication ou numéros de lots,•   Masse,•   Nom du(des) distributeur(s),•   Consignes de sécurité,•   Le cas échéant, marquage CE du produit et norme produit harmonisée dont le produit relève,•   L'étiquette relative aux émissions en polluants volatils conformément au décret 2011-321 du 23 mars 2011.</w:t>
      </w:r>
    </w:p>
    <w:p>
      <w:pPr>
        <w:ind w:left="720" w:right="0"/>
      </w:pPr>
      <w:r>
        <w:rPr>
          <w:rStyle w:val="font_h2"/>
        </w:rPr>
        <w:t xml:space="preserve">2.4. Identification du produit</w:t>
      </w:r>
    </w:p>
    <w:p>
      <w:pPr/>
      <w:r>
        <w:rPr/>
        <w:t xml:space="preserve">Validé par le Groupe Spécialisé le 13/05/2025</w:t>
      </w:r>
    </w:p>
    <w:p>
      <w:pPr/>
      <w:r>
        <w:rPr>
          <w:b/>
          <w:bCs/>
        </w:rPr>
        <w:t xml:space="preserve">Description</w:t>
      </w:r>
    </w:p>
    <w:p>
      <w:pPr/>
      <w:r>
        <w:rPr/>
        <w:t xml:space="preserve">Décrire l’étiquetage du produit ainsi que les informations présentes sur les palettes et colis (ex. : identification de la société et de l’usine de production, marque commerciale du produit, code et références du produit, dimensions (longueur, largeur et épaisseur), date de fabrication, numéro de lot, nombre de m² de produit par palette, surface total du colis, marquage CE, étiquetage sanitaire sur l’émission des COV, numéro d’Avis Technique, certifications en vigueur, etc.).</w:t>
      </w:r>
    </w:p>
    <w:p>
      <w:pPr>
        <w:ind w:left="720" w:right="0"/>
      </w:pPr>
      <w:r>
        <w:rPr>
          <w:rStyle w:val="font_h2"/>
        </w:rPr>
        <w:t xml:space="preserve">2.5. Conditionnement et stockage</w:t>
      </w:r>
    </w:p>
    <w:p>
      <w:pPr/>
      <w:r>
        <w:rPr/>
        <w:t xml:space="preserve">Validé par le Groupe Spécialisé le 13/05/2025</w:t>
      </w:r>
    </w:p>
    <w:p>
      <w:pPr/>
      <w:r>
        <w:rPr>
          <w:b/>
          <w:bCs/>
        </w:rPr>
        <w:t xml:space="preserve">Description</w:t>
      </w:r>
    </w:p>
    <w:p>
      <w:pPr/>
      <w:r>
        <w:rPr/>
        <w:t xml:space="preserve">Décrire le conditionnement du produit et ses conditions de stockage avant la mise en œuvre.</w:t>
      </w:r>
    </w:p>
    <w:p>
      <w:pPr/>
      <w:r>
        <w:rPr>
          <w:rStyle w:val="font_h1"/>
        </w:rPr>
        <w:t xml:space="preserve">3. Description</w:t>
      </w:r>
    </w:p>
    <w:p>
      <w:pPr>
        <w:ind w:left="720" w:right="0"/>
      </w:pPr>
      <w:r>
        <w:rPr>
          <w:rStyle w:val="font_h2"/>
        </w:rPr>
        <w:t xml:space="preserve">3.1. Généralité</w:t>
      </w:r>
    </w:p>
    <w:p>
      <w:pPr>
        <w:ind w:left="720" w:right="0"/>
      </w:pPr>
      <w:r>
        <w:rPr>
          <w:rStyle w:val="font_h2"/>
        </w:rPr>
        <w:t xml:space="preserve">3.2. Principe</w:t>
      </w:r>
    </w:p>
    <w:p>
      <w:pPr/>
      <w:r>
        <w:rPr/>
        <w:t xml:space="preserve">Validé par le Groupe Spécialisé le 13/05/2025</w:t>
      </w:r>
    </w:p>
    <w:p>
      <w:pPr/>
      <w:r>
        <w:rPr>
          <w:b/>
          <w:bCs/>
        </w:rPr>
        <w:t xml:space="preserve">Description</w:t>
      </w:r>
    </w:p>
    <w:p>
      <w:pPr/>
      <w:r>
        <w:rPr/>
        <w:t xml:space="preserve">Expliquer brièvement le principe du procédé.</w:t>
      </w:r>
    </w:p>
    <w:p>
      <w:pPr>
        <w:ind w:left="720" w:right="0"/>
      </w:pPr>
      <w:r>
        <w:rPr>
          <w:rStyle w:val="font_h2"/>
        </w:rPr>
        <w:t xml:space="preserve">3.3. Caractéristiques des composants</w:t>
      </w:r>
    </w:p>
    <w:p>
      <w:pPr>
        <w:ind w:left="1440" w:right="0"/>
      </w:pPr>
      <w:r>
        <w:rPr>
          <w:rStyle w:val="font_h3"/>
        </w:rPr>
        <w:t xml:space="preserve">3.3.1. Généralité</w:t>
      </w:r>
    </w:p>
    <w:p>
      <w:pPr>
        <w:ind w:left="1440" w:right="0"/>
      </w:pPr>
      <w:r>
        <w:rPr>
          <w:rStyle w:val="font_h3"/>
        </w:rPr>
        <w:t xml:space="preserve">3.3.2. Isolant</w:t>
      </w:r>
    </w:p>
    <w:p>
      <w:pPr/>
      <w:r>
        <w:rPr/>
        <w:t xml:space="preserve">Validé par le Groupe Spécialisé le 13/05/2025</w:t>
      </w:r>
    </w:p>
    <w:p>
      <w:pPr/>
      <w:r>
        <w:rPr>
          <w:b/>
          <w:bCs/>
        </w:rPr>
        <w:t xml:space="preserve">Description</w:t>
      </w:r>
    </w:p>
    <w:p>
      <w:pPr/>
      <w:r>
        <w:rPr>
          <w:b/>
          <w:bCs/>
        </w:rPr>
        <w:t xml:space="preserve">Général</w:t>
      </w:r>
    </w:p>
    <w:p>
      <w:pPr/>
      <w:r>
        <w:rPr/>
        <w:t xml:space="preserve">Les isolants à base de fibres végétales ou animales doivent être évaluées conformément au Cahier 3713 « Guide technique spécialisé pour la constitution d’un dossier de demande d’Avis Technique : Isolants à base de fibres végétales ou animales »  en vigueur.</w:t>
      </w:r>
    </w:p>
    <w:p>
      <w:pPr/>
      <w:r>
        <w:rPr/>
        <w:t xml:space="preserve">Pour un même Avis Technique ou DTA et pour un même produit (même constituants, même compositions process de fabrication), il est possible d’afficher des performances différentes dans le cas de déclaration de plages de masse volumique ou d’épaisseurs différentes. Ceci nécessite :</w:t>
      </w:r>
    </w:p>
    <w:p>
      <w:pPr>
        <w:pPr/>
        <w:numPr>
          <w:ilvl w:val="0"/>
          <w:numId w:val="12"/>
        </w:numPr>
      </w:pPr>
      <w:r>
        <w:rPr/>
        <w:t xml:space="preserve">De préciser les performances selon les plages de masse volumique ou d’épaisseur revendiquées,</w:t>
      </w:r>
    </w:p>
    <w:p>
      <w:pPr>
        <w:pPr/>
        <w:numPr>
          <w:ilvl w:val="0"/>
          <w:numId w:val="12"/>
        </w:numPr>
      </w:pPr>
      <w:r>
        <w:rPr/>
        <w:t xml:space="preserve">De définir des désignations commerciales différentes selon les plages revendiquées, </w:t>
      </w:r>
    </w:p>
    <w:p>
      <w:pPr>
        <w:pPr/>
        <w:numPr>
          <w:ilvl w:val="0"/>
          <w:numId w:val="12"/>
        </w:numPr>
      </w:pPr>
      <w:r>
        <w:rPr/>
        <w:t xml:space="preserve">De prendre en compte cette différenciation dans l’étiquetage : par exemple désignations commerciales et caractéristiques en fonction des plages de masse volumique.</w:t>
      </w:r>
    </w:p>
    <w:p>
      <w:pPr/>
      <w:r>
        <w:rPr>
          <w:b/>
          <w:bCs/>
        </w:rPr>
        <w:t xml:space="preserve">Composition</w:t>
      </w:r>
      <w:r>
        <w:rPr/>
        <w:t xml:space="preserve">Le demandeur doit fournir les renseignements suivants concernant son produit fini :</w:t>
      </w:r>
    </w:p>
    <w:p>
      <w:pPr>
        <w:pPr/>
        <w:numPr>
          <w:ilvl w:val="0"/>
          <w:numId w:val="13"/>
        </w:numPr>
      </w:pPr>
      <w:r>
        <w:rPr/>
        <w:t xml:space="preserve">les composants de la matière première isolante en pourcentage massique à température et humidité relative ambiantes ainsi que les tolérances associées;</w:t>
      </w:r>
    </w:p>
    <w:p>
      <w:pPr>
        <w:pPr/>
        <w:numPr>
          <w:ilvl w:val="0"/>
          <w:numId w:val="13"/>
        </w:numPr>
      </w:pPr>
      <w:r>
        <w:rPr/>
        <w:t xml:space="preserve">pour les liants et agents de cohésion le pourcentage et le type ;</w:t>
      </w:r>
    </w:p>
    <w:p>
      <w:pPr>
        <w:pPr/>
        <w:numPr>
          <w:ilvl w:val="0"/>
          <w:numId w:val="13"/>
        </w:numPr>
      </w:pPr>
      <w:r>
        <w:rPr/>
        <w:t xml:space="preserve">pour les adjuvants, ignifugeants et biocides, etc., l’industriel fournit l’ensemble des éléments de preuve de la conformité au Règlement REACH.</w:t>
      </w:r>
    </w:p>
    <w:p>
      <w:pPr/>
      <w:r>
        <w:rPr/>
        <w:t xml:space="preserve">Seront publiés dans l’AT/DTA les éléments suivants :</w:t>
      </w:r>
    </w:p>
    <w:p>
      <w:pPr>
        <w:pPr/>
        <w:numPr>
          <w:ilvl w:val="0"/>
          <w:numId w:val="14"/>
        </w:numPr>
      </w:pPr>
      <w:r>
        <w:rPr/>
        <w:t xml:space="preserve">les composants de la matière première isolante en pourcentage massique à température et humidité relative ambiantes ;</w:t>
      </w:r>
    </w:p>
    <w:p>
      <w:pPr>
        <w:pPr/>
        <w:numPr>
          <w:ilvl w:val="0"/>
          <w:numId w:val="14"/>
        </w:numPr>
      </w:pPr>
      <w:r>
        <w:rPr/>
        <w:t xml:space="preserve">pour les liants et agents de cohésion le pourcentage et le type ;</w:t>
      </w:r>
    </w:p>
    <w:p>
      <w:pPr>
        <w:pPr/>
        <w:numPr>
          <w:ilvl w:val="0"/>
          <w:numId w:val="14"/>
        </w:numPr>
      </w:pPr>
      <w:r>
        <w:rPr/>
        <w:t xml:space="preserve">les adjuvants, ignifugeants et biocides, etc., sont conformes au Règlement REACH.</w:t>
      </w:r>
    </w:p>
    <w:p>
      <w:pPr/>
      <w:r>
        <w:rPr/>
        <w:t xml:space="preserve">Le demandeur doit fournir notamment la Fiche de Données Sécurité (FDS) du produit.</w:t>
      </w:r>
    </w:p>
    <w:p>
      <w:pPr/>
      <w:r>
        <w:rPr>
          <w:b/>
          <w:bCs/>
        </w:rPr>
        <w:t xml:space="preserve">Thermique</w:t>
      </w:r>
      <w:r>
        <w:rPr/>
        <w:t xml:space="preserve">En l’absence de certification mentionnant le tableau de Résistances thermiques (Rutile), ajouter dans le dossier technique un tableau de Résistances thermiques (Rutile) en fonction de la conductivité thermique utile retenue par le GS et les épaisseurs de l’isolant.</w:t>
      </w:r>
    </w:p>
    <w:p>
      <w:pPr/>
      <w:r>
        <w:rPr>
          <w:b/>
          <w:bCs/>
        </w:rPr>
        <w:t xml:space="preserve">Réaction au feu</w:t>
      </w:r>
      <w:r>
        <w:rPr/>
        <w:t xml:space="preserve">Fournir le rapport d’essai et le rapport de classement. La classe de réaction au feu correspondant au produit seul (tel que mis sur le marché) doit être précisée dans le Dossier Technique. Dans le cas d’un produit marqué CE au sens du RPC , le laboratoire doit être notifié pour la réaction au feu.Un(des) classement(s) de réaction au feu complémentaire(s) en condition finale d’utilisation (end-use application), par exemple avec ajout de parement de surface ou de lame d’air, ne peuvent être revendiqués dans l’AT/DTA que pour satisfaire des exigences réglementaires particulières.</w:t>
      </w:r>
    </w:p>
    <w:p>
      <w:pPr>
        <w:ind w:left="1440" w:right="0"/>
      </w:pPr>
      <w:r>
        <w:rPr>
          <w:rStyle w:val="font_h3"/>
        </w:rPr>
        <w:t xml:space="preserve">3.3.3. Ouvrage pare-vapeur</w:t>
      </w:r>
    </w:p>
    <w:p>
      <w:pPr/>
      <w:r>
        <w:rPr/>
        <w:t xml:space="preserve">Validé par le Groupe Spécialisé le 13/05/2025</w:t>
      </w:r>
    </w:p>
    <w:p>
      <w:pPr/>
      <w:r>
        <w:rPr>
          <w:b/>
          <w:bCs/>
        </w:rPr>
        <w:t xml:space="preserve">Description</w:t>
      </w:r>
    </w:p>
    <w:p>
      <w:pPr/>
      <w:r>
        <w:rPr/>
        <w:t xml:space="preserve">Quel que soit le mode constructif (ossature bois, maçonnerie, béton), les valeurs par défaut des sd de la membrane pare-vapeur lorsqu’ils sont requis pour un procédé donné sont supérieures ou égales à :</w:t>
      </w:r>
    </w:p>
    <w:p>
      <w:pPr>
        <w:pPr/>
        <w:numPr>
          <w:ilvl w:val="0"/>
          <w:numId w:val="15"/>
        </w:numPr>
      </w:pPr>
      <w:r>
        <w:rPr/>
        <w:t xml:space="preserve">18 m en climat de plaine hors zone très froide</w:t>
      </w:r>
    </w:p>
    <w:p>
      <w:pPr>
        <w:pPr/>
        <w:numPr>
          <w:ilvl w:val="0"/>
          <w:numId w:val="15"/>
        </w:numPr>
      </w:pPr>
      <w:r>
        <w:rPr/>
        <w:t xml:space="preserve">57 m en climat de plaine en zone très froide et en climat de montagne</w:t>
      </w:r>
    </w:p>
    <w:p>
      <w:pPr/>
      <w:r>
        <w:rPr/>
        <w:t xml:space="preserve">Cette règle du sd peut être dérogée moyennant l’apport de justificatifs complémentaires pendant l’instruction du procédé d’isolation (ex. étude hygrothermique, etc.).</w:t>
      </w:r>
    </w:p>
    <w:p>
      <w:pPr/>
      <w:r>
        <w:rPr>
          <w:rStyle w:val="font_h1"/>
        </w:rPr>
        <w:t xml:space="preserve">4. Dispositions de conception</w:t>
      </w:r>
    </w:p>
    <w:p>
      <w:pPr/>
      <w:r>
        <w:rPr/>
        <w:t xml:space="preserve">Validé par le Groupe Spécialisé le 13/05/2025</w:t>
      </w:r>
    </w:p>
    <w:p>
      <w:pPr/>
      <w:r>
        <w:rPr>
          <w:b/>
          <w:bCs/>
        </w:rPr>
        <w:t xml:space="preserve">Description</w:t>
      </w:r>
    </w:p>
    <w:p>
      <w:pPr/>
      <w:r>
        <w:rPr/>
        <w:t xml:space="preserve">Décrire les dispositions de conception concernant le procédé. </w:t>
      </w:r>
    </w:p>
    <w:p>
      <w:pPr/>
      <w:r>
        <w:rPr/>
        <w:t xml:space="preserve">La mise en place d'un ouvrage pare-vapeur peut s'avérer nécessaire. Son utilité est déterminée selon les prescriptions de la version en vigueur du Cahier 3713 « Guide technique spécialisé pour la constitution d’un dossier de demande d’Avis Technique : Isolants à base de fibres végétales ou animales» du CSTB.</w:t>
      </w:r>
    </w:p>
    <w:p>
      <w:pPr/>
      <w:r>
        <w:rPr/>
        <w:t xml:space="preserve">Si les études thermiques et hygrothermiques doivent être réalisées, ils devront être réalisées par un organisme compétent en application des référentiels définis dans le « Projet de note du GS20 relative à l’évaluation des performances thermiques et hygrothermiques des procédés constructifs » d’octobre 2024 en Annexe de ce présent document.</w:t>
      </w:r>
    </w:p>
    <w:p>
      <w:pPr/>
      <w:r>
        <w:rPr>
          <w:rStyle w:val="font_h1"/>
        </w:rPr>
        <w:t xml:space="preserve">5. Mise en œuvre du procédé</w:t>
      </w:r>
    </w:p>
    <w:p>
      <w:pPr>
        <w:ind w:left="720" w:right="0"/>
      </w:pPr>
      <w:r>
        <w:rPr>
          <w:rStyle w:val="font_h2"/>
        </w:rPr>
        <w:t xml:space="preserve">5.1. Généralités</w:t>
      </w:r>
    </w:p>
    <w:p>
      <w:pPr/>
      <w:r>
        <w:rPr/>
        <w:t xml:space="preserve">Validé par le Groupe Spécialisé le 13/05/2025</w:t>
      </w:r>
    </w:p>
    <w:p>
      <w:pPr/>
      <w:r>
        <w:rPr>
          <w:b/>
          <w:bCs/>
        </w:rPr>
        <w:t xml:space="preserve">Description</w:t>
      </w:r>
    </w:p>
    <w:p>
      <w:pPr/>
      <w:r>
        <w:rPr/>
        <w:t xml:space="preserve">La mise en œuvre doit être précisément décrite, avec des détails d'exécution, schémas et/ou commentaires, soit en faisant référance au § 6 du CPT 3728_V2 « Isolation thermique des murs par l'intérieur : procédés d'isolation à l'aide de produits manufacturés à base de fibres végétales faisant l'objet d'un Avis Technique ou d'un Document Technique d'Application » ou/et soit par une description précisément décrite, avec des détails d'exécution, schémas et/ou commentaires des configurations non présentes dans le CPT 3728_V2.</w:t>
      </w:r>
    </w:p>
    <w:p>
      <w:pPr>
        <w:ind w:left="720" w:right="0"/>
      </w:pPr>
      <w:r>
        <w:rPr>
          <w:rStyle w:val="font_h2"/>
        </w:rPr>
        <w:t xml:space="preserve">5.2. Vérifications préalables</w:t>
      </w:r>
    </w:p>
    <w:p>
      <w:pPr/>
      <w:r>
        <w:rPr/>
        <w:t xml:space="preserve">Validé par le Groupe Spécialisé le 13/05/2025</w:t>
      </w:r>
    </w:p>
    <w:p>
      <w:pPr/>
      <w:r>
        <w:rPr>
          <w:b/>
          <w:bCs/>
        </w:rPr>
        <w:t xml:space="preserve">Description</w:t>
      </w:r>
    </w:p>
    <w:p>
      <w:pPr/>
      <w:r>
        <w:rPr/>
        <w:t xml:space="preserve">Décrire les vérifications préalables à la mise en œuvre conformément au § 6.1 du CPT 3728_V2.</w:t>
      </w:r>
    </w:p>
    <w:p>
      <w:pPr>
        <w:ind w:left="720" w:right="0"/>
      </w:pPr>
      <w:r>
        <w:rPr>
          <w:rStyle w:val="font_h2"/>
        </w:rPr>
        <w:t xml:space="preserve">5.3. Mise en œuvre du produit</w:t>
      </w:r>
    </w:p>
    <w:p>
      <w:pPr>
        <w:ind w:left="1440" w:right="0"/>
      </w:pPr>
      <w:r>
        <w:rPr>
          <w:rStyle w:val="font_h3"/>
        </w:rPr>
        <w:t xml:space="preserve">5.3.1. Mise en œuvre du produit</w:t>
      </w:r>
    </w:p>
    <w:p>
      <w:pPr/>
      <w:r>
        <w:rPr/>
        <w:t xml:space="preserve">Validé par le Groupe Spécialisé le 13/05/2025</w:t>
      </w:r>
    </w:p>
    <w:p>
      <w:pPr/>
      <w:r>
        <w:rPr>
          <w:b/>
          <w:bCs/>
        </w:rPr>
        <w:t xml:space="preserve">Description</w:t>
      </w:r>
    </w:p>
    <w:p>
      <w:pPr/>
      <w:r>
        <w:rPr/>
        <w:t xml:space="preserve">Décrire la mise en œuvre du procédé :</w:t>
      </w:r>
    </w:p>
    <w:p>
      <w:pPr>
        <w:pPr/>
        <w:numPr>
          <w:ilvl w:val="0"/>
          <w:numId w:val="16"/>
        </w:numPr>
      </w:pPr>
      <w:r>
        <w:rPr/>
        <w:t xml:space="preserve">découpe de l’isolant, </w:t>
      </w:r>
    </w:p>
    <w:p>
      <w:pPr>
        <w:pPr/>
        <w:numPr>
          <w:ilvl w:val="0"/>
          <w:numId w:val="16"/>
        </w:numPr>
      </w:pPr>
      <w:r>
        <w:rPr/>
        <w:t xml:space="preserve">principe de pose de l’isolant en partie courante, </w:t>
      </w:r>
    </w:p>
    <w:p>
      <w:pPr>
        <w:pPr/>
        <w:numPr>
          <w:ilvl w:val="0"/>
          <w:numId w:val="16"/>
        </w:numPr>
      </w:pPr>
      <w:r>
        <w:rPr/>
        <w:t xml:space="preserve">traitement des points singuliers,</w:t>
      </w:r>
    </w:p>
    <w:p>
      <w:pPr>
        <w:ind w:left="1440" w:right="0"/>
      </w:pPr>
      <w:r>
        <w:rPr>
          <w:rStyle w:val="font_h3"/>
        </w:rPr>
        <w:t xml:space="preserve">5.3.2. Mise en œuvre de l’ouvrage pare-vapeur</w:t>
      </w:r>
    </w:p>
    <w:p>
      <w:pPr/>
      <w:r>
        <w:rPr/>
        <w:t xml:space="preserve">Validé par le Groupe Spécialisé le 13/05/2025</w:t>
      </w:r>
    </w:p>
    <w:p>
      <w:pPr/>
      <w:r>
        <w:rPr>
          <w:b/>
          <w:bCs/>
        </w:rPr>
        <w:t xml:space="preserve">Description</w:t>
      </w:r>
    </w:p>
    <w:p>
      <w:pPr/>
      <w:r>
        <w:rPr/>
        <w:t xml:space="preserve">Décrire les principes de pose de l’ouvrage pare-vapeur si nécessaire.</w:t>
      </w:r>
    </w:p>
    <w:p>
      <w:pPr/>
      <w:r>
        <w:rPr/>
        <w:t xml:space="preserve">Si la mise en œuvre d’un pare vapeur est nécessaire, et que ce dernier peut être positionné entre la première et la seconde couche d'isolant, alors les règles 2/3 - 1/3 ou du 1/4 – 3/4 doivent être respectées conformément au cahier 3713 en vigueur.</w:t>
      </w:r>
    </w:p>
    <w:p>
      <w:pPr>
        <w:ind w:left="1440" w:right="0"/>
      </w:pPr>
      <w:r>
        <w:rPr>
          <w:rStyle w:val="font_h3"/>
        </w:rPr>
        <w:t xml:space="preserve">5.3.3. Mise en œuvre du parement intérieur</w:t>
      </w:r>
    </w:p>
    <w:p>
      <w:pPr/>
      <w:r>
        <w:rPr/>
        <w:t xml:space="preserve">Validé par le Groupe Spécialisé le 13/05/2025</w:t>
      </w:r>
    </w:p>
    <w:p>
      <w:pPr/>
      <w:r>
        <w:rPr>
          <w:b/>
          <w:bCs/>
        </w:rPr>
        <w:t xml:space="preserve">Description</w:t>
      </w:r>
    </w:p>
    <w:p>
      <w:pPr/>
      <w:r>
        <w:rPr/>
        <w:t xml:space="preserve">Décrire les principes de pose du parement intérieur.</w:t>
      </w:r>
    </w:p>
    <w:p>
      <w:pPr>
        <w:ind w:left="720" w:right="0"/>
      </w:pPr>
      <w:r>
        <w:rPr>
          <w:rStyle w:val="font_h2"/>
        </w:rPr>
        <w:t xml:space="preserve">5.4. Traitement des éléments dégageant de la chaleur</w:t>
      </w:r>
    </w:p>
    <w:p>
      <w:pPr>
        <w:ind w:left="1440" w:right="0"/>
      </w:pPr>
      <w:r>
        <w:rPr>
          <w:rStyle w:val="font_h3"/>
        </w:rPr>
        <w:t xml:space="preserve">5.4.1. Généralités</w:t>
      </w:r>
    </w:p>
    <w:p>
      <w:pPr/>
      <w:r>
        <w:rPr/>
        <w:t xml:space="preserve">Validé par le Groupe Spécialisé le 13/05/2025</w:t>
      </w:r>
    </w:p>
    <w:p>
      <w:pPr/>
      <w:r>
        <w:rPr>
          <w:b/>
          <w:bCs/>
        </w:rPr>
        <w:t xml:space="preserve">Description</w:t>
      </w:r>
    </w:p>
    <w:p>
      <w:pPr/>
      <w:r>
        <w:rPr/>
        <w:t xml:space="preserve">Décrire le Traitement des éléments dégageant de la chaleur ainsi que les dispositions relatives à la protection incendie à respecter conformément à la norme NF DTU 24.1 et de l'e-cahier du CSTB 3816 de juillet 2020 :</w:t>
      </w:r>
    </w:p>
    <w:p>
      <w:pPr>
        <w:pPr/>
        <w:numPr>
          <w:ilvl w:val="0"/>
          <w:numId w:val="17"/>
        </w:numPr>
      </w:pPr>
      <w:r>
        <w:rPr/>
        <w:t xml:space="preserve">conduits de fumée, </w:t>
      </w:r>
    </w:p>
    <w:p>
      <w:pPr>
        <w:pPr/>
        <w:numPr>
          <w:ilvl w:val="0"/>
          <w:numId w:val="17"/>
        </w:numPr>
      </w:pPr>
      <w:r>
        <w:rPr/>
        <w:t xml:space="preserve">dispositifs d’éclairage encastrés (le cas échéant), </w:t>
      </w:r>
    </w:p>
    <w:p>
      <w:pPr>
        <w:pPr/>
        <w:numPr>
          <w:ilvl w:val="0"/>
          <w:numId w:val="17"/>
        </w:numPr>
      </w:pPr>
      <w:r>
        <w:rPr/>
        <w:t xml:space="preserve">autres éléments dégageant de la chaleur</w:t>
      </w:r>
    </w:p>
    <w:p>
      <w:pPr>
        <w:ind w:left="720" w:right="0"/>
      </w:pPr>
      <w:r>
        <w:rPr>
          <w:rStyle w:val="font_h2"/>
        </w:rPr>
        <w:t xml:space="preserve">5.5. Autres mises en œuvre pour des applications spécifiques</w:t>
      </w:r>
    </w:p>
    <w:p>
      <w:pPr>
        <w:ind w:left="720" w:right="0"/>
      </w:pPr>
      <w:r>
        <w:rPr>
          <w:rStyle w:val="font_h2"/>
        </w:rPr>
        <w:t xml:space="preserve">5.6. Lame d'air entre l'isolant et le parement intérieur</w:t>
      </w:r>
    </w:p>
    <w:p>
      <w:pPr/>
      <w:r>
        <w:rPr/>
        <w:t xml:space="preserve">Validé par le Groupe Spécialisé le 13/05/2025</w:t>
      </w:r>
    </w:p>
    <w:p>
      <w:pPr/>
      <w:r>
        <w:rPr>
          <w:b/>
          <w:bCs/>
        </w:rPr>
        <w:t xml:space="preserve">Description</w:t>
      </w:r>
    </w:p>
    <w:p>
      <w:pPr/>
      <w:r>
        <w:rPr/>
        <w:t xml:space="preserve">Préciser si une configuration avec présence d’une lame d’air entre l’isolant et le parement intérieur est visée.Dans ce cas, en l'absence de justifications d'un laboratoire agréé en comportement au feu, l'aménagement d'un vide technique, créant une lame d'air, est interdit en ERP dans le cas des isolants n'ayant pas une classe de réaction au feu E au minimum. Ce vide technique doit alors être comblé par un complément d'isolation.</w:t>
      </w:r>
    </w:p>
    <w:p>
      <w:pPr>
        <w:ind w:left="720" w:right="0"/>
      </w:pPr>
      <w:r>
        <w:rPr>
          <w:rStyle w:val="font_h2"/>
        </w:rPr>
        <w:t xml:space="preserve">5.7. Recoupement des surfaces pour la mise en œuvre en ERP</w:t>
      </w:r>
    </w:p>
    <w:p>
      <w:pPr/>
      <w:r>
        <w:rPr>
          <w:rStyle w:val="font_h1"/>
        </w:rPr>
        <w:t xml:space="preserve">6. Traitement en fin de vie</w:t>
      </w:r>
    </w:p>
    <w:p>
      <w:pPr/>
      <w:r>
        <w:rPr/>
        <w:t xml:space="preserve">Validé par le Groupe Spécialisé le 13/05/2025</w:t>
      </w:r>
    </w:p>
    <w:p>
      <w:pPr/>
      <w:r>
        <w:rPr>
          <w:b/>
          <w:bCs/>
        </w:rPr>
        <w:t xml:space="preserve">Description</w:t>
      </w:r>
    </w:p>
    <w:p>
      <w:pPr/>
      <w:r>
        <w:rPr/>
        <w:t xml:space="preserve">Décrire le traitement en fin de vie du procédé : options de recyclage, de gestion des déchets, etc.</w:t>
      </w:r>
    </w:p>
    <w:p>
      <w:pPr/>
      <w:r>
        <w:rPr>
          <w:rStyle w:val="font_h1"/>
        </w:rPr>
        <w:t xml:space="preserve">7. Informations sur les intervenants ultérieurs</w:t>
      </w:r>
    </w:p>
    <w:p>
      <w:pPr/>
      <w:r>
        <w:rPr/>
        <w:t xml:space="preserve">Validé par le Groupe Spécialisé le 13/05/2025</w:t>
      </w:r>
    </w:p>
    <w:p>
      <w:pPr/>
      <w:r>
        <w:rPr>
          <w:b/>
          <w:bCs/>
        </w:rPr>
        <w:t xml:space="preserve">Description</w:t>
      </w:r>
    </w:p>
    <w:p>
      <w:pPr/>
      <w:r>
        <w:rPr/>
        <w:t xml:space="preserve">Préciser les recommandations de sécurité pour les futurs travaux (ex. étiquette signalétique à appliquer sur les tableaux électriques expliquant les risques d’incendies et les bons gestes concernant la pose d‘éléments électriques ou dégageant de la chaleur, etc.) à destination des futurs corps de métiers intervenant dans le bâtiment où a été appliquée le produit/procédé.</w:t>
      </w:r>
    </w:p>
    <w:p>
      <w:pPr/>
      <w:r>
        <w:rPr>
          <w:rStyle w:val="font_h1"/>
        </w:rPr>
        <w:t xml:space="preserve">8. Principes de fabrication et de contrôle de cette fabrication</w:t>
      </w:r>
    </w:p>
    <w:p>
      <w:pPr>
        <w:ind w:left="720" w:right="0"/>
      </w:pPr>
      <w:r>
        <w:rPr>
          <w:rStyle w:val="font_h2"/>
        </w:rPr>
        <w:t xml:space="preserve">8.1. Fabrication</w:t>
      </w:r>
    </w:p>
    <w:p>
      <w:pPr/>
      <w:r>
        <w:rPr/>
        <w:t xml:space="preserve">Validé par le Groupe Spécialisé le 13/05/2025</w:t>
      </w:r>
    </w:p>
    <w:p>
      <w:pPr/>
      <w:r>
        <w:rPr>
          <w:b/>
          <w:bCs/>
        </w:rPr>
        <w:t xml:space="preserve">Description</w:t>
      </w:r>
    </w:p>
    <w:p>
      <w:pPr/>
      <w:r>
        <w:rPr/>
        <w:t xml:space="preserve">Mentionner le nom et adresse de l'usine de fabrication.Décrire le procédé de fabrication.</w:t>
      </w:r>
    </w:p>
    <w:p>
      <w:pPr>
        <w:ind w:left="720" w:right="0"/>
      </w:pPr>
      <w:r>
        <w:rPr>
          <w:rStyle w:val="font_h2"/>
        </w:rPr>
        <w:t xml:space="preserve">8.2. Contrôles</w:t>
      </w:r>
    </w:p>
    <w:p>
      <w:pPr>
        <w:ind w:left="1440" w:right="0"/>
      </w:pPr>
      <w:r>
        <w:rPr>
          <w:rStyle w:val="font_h3"/>
        </w:rPr>
        <w:t xml:space="preserve">8.2.1. Contrôles interne et externes des matières premières</w:t>
      </w:r>
    </w:p>
    <w:p>
      <w:pPr/>
      <w:r>
        <w:rPr/>
        <w:t xml:space="preserve">Validé par le Groupe Spécialisé le 13/05/2025</w:t>
      </w:r>
    </w:p>
    <w:p>
      <w:pPr/>
      <w:r>
        <w:rPr>
          <w:b/>
          <w:bCs/>
        </w:rPr>
        <w:t xml:space="preserve">Description</w:t>
      </w:r>
    </w:p>
    <w:p>
      <w:pPr/>
      <w:r>
        <w:rPr/>
        <w:t xml:space="preserve">Décrire le contrôle internes (et externes le cas échéant) des matières premières.</w:t>
      </w:r>
    </w:p>
    <w:p>
      <w:pPr>
        <w:ind w:left="1440" w:right="0"/>
      </w:pPr>
      <w:r>
        <w:rPr>
          <w:rStyle w:val="font_h3"/>
        </w:rPr>
        <w:t xml:space="preserve">8.2.2. Contrôles interne et externes du produit fini</w:t>
      </w:r>
    </w:p>
    <w:p>
      <w:pPr/>
      <w:r>
        <w:rPr/>
        <w:t xml:space="preserve">Validé par le Groupe Spécialisé le 13/05/2025</w:t>
      </w:r>
    </w:p>
    <w:p>
      <w:pPr/>
      <w:r>
        <w:rPr>
          <w:b/>
          <w:bCs/>
        </w:rPr>
        <w:t xml:space="preserve">Description</w:t>
      </w:r>
    </w:p>
    <w:p>
      <w:pPr/>
      <w:r>
        <w:rPr/>
        <w:t xml:space="preserve">Décrire les contrôles réalisés sur le produit fini en ligne de production et les contrôles en laboratoire : </w:t>
      </w:r>
    </w:p>
    <w:p>
      <w:pPr>
        <w:pPr/>
        <w:numPr>
          <w:ilvl w:val="0"/>
          <w:numId w:val="18"/>
        </w:numPr>
      </w:pPr>
      <w:r>
        <w:rPr/>
        <w:t xml:space="preserve">Caractéristiques contrôlées</w:t>
      </w:r>
    </w:p>
    <w:p>
      <w:pPr>
        <w:pPr/>
        <w:numPr>
          <w:ilvl w:val="0"/>
          <w:numId w:val="18"/>
        </w:numPr>
      </w:pPr>
      <w:r>
        <w:rPr/>
        <w:t xml:space="preserve">Méthode d’essai</w:t>
      </w:r>
    </w:p>
    <w:p>
      <w:pPr>
        <w:pPr/>
        <w:numPr>
          <w:ilvl w:val="0"/>
          <w:numId w:val="18"/>
        </w:numPr>
      </w:pPr>
      <w:r>
        <w:rPr/>
        <w:t xml:space="preserve">Fréquence </w:t>
      </w:r>
    </w:p>
    <w:p>
      <w:pPr>
        <w:pPr/>
        <w:numPr>
          <w:ilvl w:val="0"/>
          <w:numId w:val="18"/>
        </w:numPr>
      </w:pPr>
      <w:r>
        <w:rPr/>
        <w:t xml:space="preserve">Tolérance</w:t>
      </w:r>
    </w:p>
    <w:p>
      <w:pPr/>
      <w:r>
        <w:rPr/>
        <w:t xml:space="preserve">Cette description devra préciser s’il s’agit d’essais directs ou indirects et s’il s’agit d’essais réalisés par le laboratoire du demandeur ou par un organisme extérieur.</w:t>
      </w:r>
    </w:p>
    <w:p>
      <w:pPr/>
      <w:r>
        <w:rPr/>
        <w:t xml:space="preserve">Concernant la réaction au feu du produit, en absence de marquage CE du produit, les produits dont l’Euroclasse dont la classe est A, B, C ou D, doivent bénéficier du contrôle qualité interne et externe suivant :</w:t>
      </w:r>
    </w:p>
    <w:p>
      <w:pPr>
        <w:pPr/>
        <w:numPr>
          <w:ilvl w:val="0"/>
          <w:numId w:val="19"/>
        </w:numPr>
      </w:pPr>
      <w:r>
        <w:rPr/>
        <w:t xml:space="preserve">Un suivi interne usine par des autocontrôles : essais indirects ;</w:t>
      </w:r>
    </w:p>
    <w:p>
      <w:pPr>
        <w:pPr/>
        <w:numPr>
          <w:ilvl w:val="0"/>
          <w:numId w:val="19"/>
        </w:numPr>
      </w:pPr>
      <w:r>
        <w:rPr/>
        <w:t xml:space="preserve">Un suivi externe : essais SBI une fois tous les deux ans.</w:t>
      </w:r>
    </w:p>
    <w:p>
      <w:pPr/>
      <w:r>
        <w:rPr>
          <w:rStyle w:val="font_h1"/>
        </w:rPr>
        <w:t xml:space="preserve">9. Assistance technique</w:t>
      </w:r>
    </w:p>
    <w:p>
      <w:pPr>
        <w:ind w:left="720" w:right="0"/>
      </w:pPr>
      <w:r>
        <w:rPr>
          <w:rStyle w:val="font_h2"/>
        </w:rPr>
        <w:t xml:space="preserve">9.1. Généralité</w:t>
      </w:r>
    </w:p>
    <w:p>
      <w:pPr/>
      <w:r>
        <w:rPr/>
        <w:t xml:space="preserve">Validé par le Groupe Spécialisé le 13/05/2025</w:t>
      </w:r>
    </w:p>
    <w:p>
      <w:pPr/>
      <w:r>
        <w:rPr>
          <w:b/>
          <w:bCs/>
        </w:rPr>
        <w:t xml:space="preserve">Description</w:t>
      </w:r>
    </w:p>
    <w:p>
      <w:pPr/>
      <w:r>
        <w:rPr/>
        <w:t xml:space="preserve">Le Demandeur doit décrire dans le Dossier Technique le contenu de l'assistance technique apportée par le demandeur aux applicateurs. L’assistance technique et les supports technique / de formation doivent être disponibles en langue française.Les éléments justificatifs à apporter par le Demandeur comprennent notamment :</w:t>
      </w:r>
    </w:p>
    <w:p>
      <w:pPr>
        <w:pPr/>
        <w:numPr>
          <w:ilvl w:val="0"/>
          <w:numId w:val="20"/>
        </w:numPr>
      </w:pPr>
      <w:r>
        <w:rPr/>
        <w:t xml:space="preserve">Nom de l’entité et coordonnées téléphonique et mail de l’assistance technique, </w:t>
      </w:r>
    </w:p>
    <w:p>
      <w:pPr>
        <w:pPr/>
        <w:numPr>
          <w:ilvl w:val="0"/>
          <w:numId w:val="20"/>
        </w:numPr>
      </w:pPr>
      <w:r>
        <w:rPr/>
        <w:t xml:space="preserve">Garantie du Demandeur sur la mise à disposition de sessions de formation à la demande des applicateurs,</w:t>
      </w:r>
    </w:p>
    <w:p>
      <w:pPr>
        <w:pPr/>
        <w:numPr>
          <w:ilvl w:val="0"/>
          <w:numId w:val="20"/>
        </w:numPr>
      </w:pPr>
      <w:r>
        <w:rPr/>
        <w:t xml:space="preserve">Support technique à disposition des applicateurs,</w:t>
      </w:r>
    </w:p>
    <w:p>
      <w:pPr>
        <w:pPr/>
        <w:numPr>
          <w:ilvl w:val="0"/>
          <w:numId w:val="20"/>
        </w:numPr>
      </w:pPr>
      <w:r>
        <w:rPr/>
        <w:t xml:space="preserve">Supports de formation à but pédagogique,</w:t>
      </w:r>
    </w:p>
    <w:p>
      <w:pPr>
        <w:pPr/>
        <w:numPr>
          <w:ilvl w:val="0"/>
          <w:numId w:val="20"/>
        </w:numPr>
      </w:pPr>
      <w:r>
        <w:rPr/>
        <w:t xml:space="preserve">Attestations internes de formation des applicateurs,</w:t>
      </w:r>
    </w:p>
    <w:p>
      <w:pPr/>
      <w:r>
        <w:rPr>
          <w:rStyle w:val="font_h1"/>
        </w:rPr>
        <w:t xml:space="preserve">10. Impacts environnementaux</w:t>
      </w:r>
    </w:p>
    <w:p>
      <w:pPr/>
      <w:r>
        <w:rPr/>
        <w:t xml:space="preserve">Validé par le Groupe Spécialisé le 13/05/2025</w:t>
      </w:r>
    </w:p>
    <w:p>
      <w:pPr/>
      <w:r>
        <w:rPr>
          <w:b/>
          <w:bCs/>
        </w:rPr>
        <w:t xml:space="preserve">Description</w:t>
      </w:r>
    </w:p>
    <w:p>
      <w:pPr/>
      <w:r>
        <w:rPr/>
        <w:t xml:space="preserve">Le demandeur peut, s’il le souhaite, faire valoir une FDES (Fiche de Déclaration Environnementale et Sanitaire) concernant le procédé dans l’AT/DTA, à condition que celle-ci soit vérifiée par une tierce partie indépendante et publiée sur le site inies. La date de cette FDES doit être indiquée dans l’AT/DTA.</w:t>
      </w:r>
    </w:p>
    <w:p>
      <w:pPr/>
      <w:r>
        <w:rPr/>
        <w:t xml:space="preserve">Il est rappelé que cette FDES n’entre pas dans le champ d’examen d’aptitude à l’emploi du produit.</w:t>
      </w:r>
    </w:p>
    <w:p>
      <w:pPr/>
      <w:r>
        <w:rPr>
          <w:rStyle w:val="font_h1"/>
        </w:rPr>
        <w:t xml:space="preserve">11. Mention des justificatifs</w:t>
      </w:r>
    </w:p>
    <w:p>
      <w:pPr>
        <w:ind w:left="720" w:right="0"/>
      </w:pPr>
      <w:r>
        <w:rPr>
          <w:rStyle w:val="font_h2"/>
        </w:rPr>
        <w:t xml:space="preserve">11.1. Résultats expérimentaux</w:t>
      </w:r>
    </w:p>
    <w:p>
      <w:pPr/>
      <w:r>
        <w:rPr/>
        <w:t xml:space="preserve">Validé par le Groupe Spécialisé le 13/05/2025</w:t>
      </w:r>
    </w:p>
    <w:p>
      <w:pPr/>
      <w:r>
        <w:rPr>
          <w:b/>
          <w:bCs/>
        </w:rPr>
        <w:t xml:space="preserve">Description</w:t>
      </w:r>
    </w:p>
    <w:p>
      <w:pPr/>
      <w:r>
        <w:rPr/>
        <w:t xml:space="preserve">Lister l’ensemble des résultats expérimentaux (rapports d’essai, d’étude, etc.) apportés.</w:t>
      </w:r>
    </w:p>
    <w:p>
      <w:pPr/>
      <w:r>
        <w:rPr/>
        <w:t xml:space="preserve">Pour tous les produits certifiés (ACERMI, QB, etc.), le demandeur doit fournir les éléments justificatifs concernant le suivi :</w:t>
      </w:r>
    </w:p>
    <w:p>
      <w:pPr>
        <w:pPr/>
        <w:numPr>
          <w:ilvl w:val="0"/>
          <w:numId w:val="21"/>
        </w:numPr>
      </w:pPr>
      <w:r>
        <w:rPr/>
        <w:t xml:space="preserve">Rapports d’essais externes réalisé dans le cadre du suivi par un tierce partie,</w:t>
      </w:r>
    </w:p>
    <w:p>
      <w:pPr>
        <w:pPr/>
        <w:numPr>
          <w:ilvl w:val="0"/>
          <w:numId w:val="21"/>
        </w:numPr>
      </w:pPr>
      <w:r>
        <w:rPr/>
        <w:t xml:space="preserve">Registre de contrôle sur les paramètres vérifiés dans le cadre de la certification et tel que décrits dans le DTA.</w:t>
      </w:r>
    </w:p>
    <w:p>
      <w:pPr>
        <w:ind w:left="720" w:right="0"/>
      </w:pPr>
      <w:r>
        <w:rPr>
          <w:rStyle w:val="font_h2"/>
        </w:rPr>
        <w:t xml:space="preserve">11.2. Références chantiers</w:t>
      </w:r>
    </w:p>
    <w:p>
      <w:pPr/>
      <w:r>
        <w:rPr/>
        <w:t xml:space="preserve">Validé par le Groupe Spécialisé le 13/05/2025</w:t>
      </w:r>
    </w:p>
    <w:p>
      <w:pPr/>
      <w:r>
        <w:rPr>
          <w:b/>
          <w:bCs/>
        </w:rPr>
        <w:t xml:space="preserve">Description</w:t>
      </w:r>
    </w:p>
    <w:p>
      <w:pPr/>
      <w:r>
        <w:rPr/>
        <w:t xml:space="preserve">Pour toute nouvelle demande d’Avis Technique ou de Document Technique d'Application, le demandeur doit fournir une liste de références de chantier suffisamment représentative du domaine d'emploi revendiqué du procédé. Celle-ci doit en plus répondre aux exigences suivantes :</w:t>
      </w:r>
    </w:p>
    <w:p>
      <w:pPr>
        <w:pPr/>
        <w:numPr>
          <w:ilvl w:val="0"/>
          <w:numId w:val="22"/>
        </w:numPr>
      </w:pPr>
      <w:r>
        <w:rPr/>
        <w:t xml:space="preserve">Présenter au moins 500 m² ou 5 références de chantiers réalisés en France avec le procédé ;</w:t>
      </w:r>
    </w:p>
    <w:p>
      <w:pPr>
        <w:pPr/>
        <w:numPr>
          <w:ilvl w:val="0"/>
          <w:numId w:val="22"/>
        </w:numPr>
      </w:pPr>
      <w:r>
        <w:rPr/>
        <w:t xml:space="preserve">Comprendre au moins deux entreprises applicatrices distinctes.</w:t>
      </w:r>
    </w:p>
    <w:p>
      <w:pPr/>
      <w:r>
        <w:rPr/>
        <w:t xml:space="preserve">Liste de chantiers comprenant les informations suivantes : </w:t>
      </w:r>
    </w:p>
    <w:p>
      <w:pPr>
        <w:pPr/>
        <w:numPr>
          <w:ilvl w:val="0"/>
          <w:numId w:val="23"/>
        </w:numPr>
      </w:pPr>
      <w:r>
        <w:rPr/>
        <w:t xml:space="preserve">Coordonnées du maître d'ouvrage et de l'applicateur, </w:t>
      </w:r>
    </w:p>
    <w:p>
      <w:pPr>
        <w:pPr/>
        <w:numPr>
          <w:ilvl w:val="0"/>
          <w:numId w:val="23"/>
        </w:numPr>
      </w:pPr>
      <w:r>
        <w:rPr/>
        <w:t xml:space="preserve">Adresse du chantier, </w:t>
      </w:r>
    </w:p>
    <w:p>
      <w:pPr>
        <w:pPr/>
        <w:numPr>
          <w:ilvl w:val="0"/>
          <w:numId w:val="23"/>
        </w:numPr>
      </w:pPr>
      <w:r>
        <w:rPr/>
        <w:t xml:space="preserve">Zone géographique, </w:t>
      </w:r>
    </w:p>
    <w:p>
      <w:pPr>
        <w:pPr/>
        <w:numPr>
          <w:ilvl w:val="0"/>
          <w:numId w:val="23"/>
        </w:numPr>
      </w:pPr>
      <w:r>
        <w:rPr/>
        <w:t xml:space="preserve">Type de travaux : neuf/rénovation,</w:t>
      </w:r>
    </w:p>
    <w:p>
      <w:pPr>
        <w:pPr/>
        <w:numPr>
          <w:ilvl w:val="0"/>
          <w:numId w:val="23"/>
        </w:numPr>
      </w:pPr>
      <w:r>
        <w:rPr/>
        <w:t xml:space="preserve">Surface isolée (m²), </w:t>
      </w:r>
    </w:p>
    <w:p>
      <w:pPr>
        <w:pPr/>
        <w:numPr>
          <w:ilvl w:val="0"/>
          <w:numId w:val="23"/>
        </w:numPr>
      </w:pPr>
      <w:r>
        <w:rPr/>
        <w:t xml:space="preserve">Type de bâtiment (code du travail, ERP, habitation, etc.),</w:t>
      </w:r>
    </w:p>
    <w:p>
      <w:pPr>
        <w:pPr/>
        <w:numPr>
          <w:ilvl w:val="0"/>
          <w:numId w:val="23"/>
        </w:numPr>
      </w:pPr>
      <w:r>
        <w:rPr/>
        <w:t xml:space="preserve">Type de locaux (cuisine, salle de bain, piscine, etc.),</w:t>
      </w:r>
    </w:p>
    <w:p>
      <w:pPr>
        <w:pPr/>
        <w:numPr>
          <w:ilvl w:val="0"/>
          <w:numId w:val="23"/>
        </w:numPr>
      </w:pPr>
      <w:r>
        <w:rPr/>
        <w:t xml:space="preserve">Type de support (béton, bois, acier, etc.), </w:t>
      </w:r>
    </w:p>
    <w:p>
      <w:pPr>
        <w:pPr/>
        <w:numPr>
          <w:ilvl w:val="0"/>
          <w:numId w:val="23"/>
        </w:numPr>
      </w:pPr>
      <w:r>
        <w:rPr/>
        <w:t xml:space="preserve">Epaisseur d’isolant installée,</w:t>
      </w:r>
    </w:p>
    <w:p>
      <w:pPr>
        <w:pPr/>
        <w:numPr>
          <w:ilvl w:val="0"/>
          <w:numId w:val="23"/>
        </w:numPr>
      </w:pPr>
      <w:r>
        <w:rPr/>
        <w:t xml:space="preserve">Isolation thermique existante (rénovation),</w:t>
      </w:r>
    </w:p>
    <w:p>
      <w:pPr>
        <w:pPr/>
        <w:numPr>
          <w:ilvl w:val="0"/>
          <w:numId w:val="23"/>
        </w:numPr>
      </w:pPr>
      <w:r>
        <w:rPr/>
        <w:t xml:space="preserve">Particularité de mise en oeuvre (ouvrage pare-vapeur, etc.)</w:t>
      </w:r>
    </w:p>
    <w:p>
      <w:pPr>
        <w:pPr/>
        <w:numPr>
          <w:ilvl w:val="0"/>
          <w:numId w:val="23"/>
        </w:numPr>
      </w:pPr>
      <w:r>
        <w:rPr/>
        <w:t xml:space="preserve">Le nom et les coordonnées du contrôleur technique,</w:t>
      </w:r>
    </w:p>
    <w:p>
      <w:pPr>
        <w:pPr/>
        <w:numPr>
          <w:ilvl w:val="0"/>
          <w:numId w:val="23"/>
        </w:numPr>
      </w:pPr>
      <w:r>
        <w:rPr/>
        <w:t xml:space="preserve">Le nom et les coordonnées du Maître d’ouvrage.</w:t>
      </w:r>
    </w:p>
    <w:p>
      <w:pPr/>
      <w:r>
        <w:rPr>
          <w:rStyle w:val="font_h1"/>
        </w:rPr>
        <w:t xml:space="preserve">12. Annexe 1 : Evaluation des performances thermiques et hygrothermiques des procédés constructifs</w:t>
      </w:r>
    </w:p>
    <w:p>
      <w:pPr/>
      <w:r>
        <w:rPr/>
        <w:t xml:space="preserve">Validé par le Groupe Spécialisé le 22/10/2024</w:t>
      </w:r>
    </w:p>
    <w:p>
      <w:pPr/>
      <w:r>
        <w:rPr>
          <w:b/>
          <w:bCs/>
        </w:rPr>
        <w:t xml:space="preserve">Description</w:t>
      </w:r>
    </w:p>
    <w:p>
      <w:pPr/>
      <w:r>
        <w:rPr/>
        <w:t xml:space="preserve">Les performances thermiques et hygrothermiques des procédés constructifs doivent être déterminées par un organisme indépendant reconnu compétent par le GS20 en considérant :</w:t>
      </w:r>
    </w:p>
    <w:p>
      <w:pPr>
        <w:pPr/>
        <w:numPr>
          <w:ilvl w:val="0"/>
          <w:numId w:val="24"/>
        </w:numPr>
      </w:pPr>
      <w:r>
        <w:rPr/>
        <w:t xml:space="preserve">les travaux antérieurs du Groupe Spécialisé GS20 pour l’instruction des Avis Techniques (ATec)  ou des Documents Techniques d’Application (DTA) ;</w:t>
      </w:r>
    </w:p>
    <w:p>
      <w:pPr>
        <w:pPr/>
        <w:numPr>
          <w:ilvl w:val="0"/>
          <w:numId w:val="24"/>
        </w:numPr>
      </w:pPr>
      <w:r>
        <w:rPr/>
        <w:t xml:space="preserve">les documents normatifs ou réglementaires tels que ceux issus de la commission Th-Bat, la commission CEN ou les commissions de normalisation ITB (« Isolation Thermique des Bâtiments ») de l’AFNOR… ;</w:t>
      </w:r>
    </w:p>
    <w:p>
      <w:pPr>
        <w:pPr/>
        <w:numPr>
          <w:ilvl w:val="0"/>
          <w:numId w:val="24"/>
        </w:numPr>
      </w:pPr>
      <w:r>
        <w:rPr/>
        <w:t xml:space="preserve">la compétence et l’expertise des systèmes constructifs pour lesquels la caractérisation thermique ou hygrothermique est réalisée (caractéristiques des produits, mise en œuvre …) ;</w:t>
      </w:r>
    </w:p>
    <w:p>
      <w:pPr>
        <w:pPr/>
        <w:numPr>
          <w:ilvl w:val="0"/>
          <w:numId w:val="24"/>
        </w:numPr>
      </w:pPr>
      <w:r>
        <w:rPr/>
        <w:t xml:space="preserve">les logiciels de calcul issus des documents normatifs ou réglementaires.</w:t>
      </w:r>
    </w:p>
    <w:p>
      <w:pPr/>
      <w:r>
        <w:rPr/>
        <w:t xml:space="preserve">Peut également intervenir dans l’appréciation :</w:t>
      </w:r>
    </w:p>
    <w:p>
      <w:pPr>
        <w:pPr/>
        <w:numPr>
          <w:ilvl w:val="0"/>
          <w:numId w:val="25"/>
        </w:numPr>
      </w:pPr>
      <w:r>
        <w:rPr/>
        <w:t xml:space="preserve">la disponibilité de l’organisme ayant réalisé les études, pour répondre aux éventuelles questions lors de l’instruction de l’ATec ou du DTA et pour présenter les travaux réalisés en commission GS20.</w:t>
      </w:r>
    </w:p>
    <w:p>
      <w:pPr/>
      <w:r>
        <w:rPr/>
        <w:t xml:space="preserve">Les référentiels devant être utilisés pour déterminer les performances thermiques et hygrothermiques des procédés constructifs sont référencés ci-après. La dernière version en vigueur de chaque document doit être utilisée pour réaliser les calculs (liste non exhaustive).Si une méthode de calcul retenue ne correspond pas à ces référentiels, une acceptation préalable du GS20 est requise.</w:t>
      </w:r>
    </w:p>
    <w:p>
      <w:pPr/>
      <w:r>
        <w:rPr/>
        <w:t xml:space="preserve">L’ensemble des hypothèses et des scénarii de l’étude ainsi que le référentiel de calcul doivent être préalablement présentés et approuvés par l’instructeur ou le GS20.</w:t>
      </w:r>
    </w:p>
    <w:p>
      <w:pPr/>
      <w:r>
        <w:rPr>
          <w:b/>
          <w:bCs/>
        </w:rPr>
        <w:t xml:space="preserve">A.    Référentiels des calculs thermiques statiques</w:t>
      </w:r>
    </w:p>
    <w:p>
      <w:pPr/>
      <w:r>
        <w:rPr/>
        <w:t xml:space="preserve">Ce domaine couvre la détermination des caractéristiques thermiques telles que la résistance thermique, le coefficient de transmission thermique, le facteur de transmission solaire, le facteur de transmission lumineuse, … des composants, des parois et des jonctions de parois des bâtiments.</w:t>
      </w:r>
    </w:p>
    <w:p>
      <w:pPr>
        <w:pPr/>
        <w:numPr>
          <w:ilvl w:val="0"/>
          <w:numId w:val="26"/>
        </w:numPr>
      </w:pPr>
      <w:r>
        <w:rPr/>
        <w:t xml:space="preserve">Règles Th-Bat – Partie méthodologie – Annexe IV de l’arrêté du 4 août 2021 - Règles Th-Bat 2020 (ou RTAA DOM 2016 pour les DROM).</w:t>
      </w:r>
    </w:p>
    <w:p>
      <w:pPr>
        <w:pPr/>
        <w:numPr>
          <w:ilvl w:val="0"/>
          <w:numId w:val="26"/>
        </w:numPr>
      </w:pPr>
      <w:r>
        <w:rPr/>
        <w:t xml:space="preserve">Données d’entrée au calcul de la performance énergétique (et ses amendements validés en commissions Th-Bat).</w:t>
      </w:r>
    </w:p>
    <w:p>
      <w:pPr>
        <w:pPr/>
        <w:numPr>
          <w:ilvl w:val="0"/>
          <w:numId w:val="26"/>
        </w:numPr>
      </w:pPr>
      <w:r>
        <w:rPr/>
        <w:t xml:space="preserve">Règles Th-Bat – Partie applicative (Publications CSTB).</w:t>
      </w:r>
    </w:p>
    <w:p>
      <w:pPr>
        <w:pPr/>
        <w:numPr>
          <w:ilvl w:val="0"/>
          <w:numId w:val="26"/>
        </w:numPr>
      </w:pPr>
      <w:r>
        <w:rPr/>
        <w:t xml:space="preserve">NF EN ISO 10456 – Matériaux et produits pour le bâtiment - Propriétés hygrothermiques - Valeurs utiles tabulées et procédures pour la détermination des valeurs thermiques déclarées et utiles.</w:t>
      </w:r>
    </w:p>
    <w:p>
      <w:pPr>
        <w:pPr/>
        <w:numPr>
          <w:ilvl w:val="0"/>
          <w:numId w:val="26"/>
        </w:numPr>
      </w:pPr>
      <w:r>
        <w:rPr/>
        <w:t xml:space="preserve">NF EN ISO 6946 – Composants et parois de bâtiments – Résistance thermique et coefficient de transmission thermique – Méthodes de calcul.</w:t>
      </w:r>
    </w:p>
    <w:p>
      <w:pPr>
        <w:pPr/>
        <w:numPr>
          <w:ilvl w:val="0"/>
          <w:numId w:val="26"/>
        </w:numPr>
      </w:pPr>
      <w:r>
        <w:rPr/>
        <w:t xml:space="preserve">NF EN ISO 10211 – Ponts thermiques dans les bâtiments - Flux thermiques et températures superficielles – Calculs détaillés.</w:t>
      </w:r>
    </w:p>
    <w:p>
      <w:pPr>
        <w:pPr/>
        <w:numPr>
          <w:ilvl w:val="0"/>
          <w:numId w:val="26"/>
        </w:numPr>
      </w:pPr>
      <w:r>
        <w:rPr/>
        <w:t xml:space="preserve">NF EN ISO 13789 – Performance thermique des bâtiments – Coefficient de transfert de chaleur par transmission et par renouvellement d’air – Méthode de calcul.</w:t>
      </w:r>
    </w:p>
    <w:p>
      <w:pPr>
        <w:pPr/>
        <w:numPr>
          <w:ilvl w:val="0"/>
          <w:numId w:val="26"/>
        </w:numPr>
      </w:pPr>
      <w:r>
        <w:rPr/>
        <w:t xml:space="preserve">NF EN ISO 13370 - Performance thermique des bâtiments – Transfert de chaleur par le sol - Méthodes de calcul.</w:t>
      </w:r>
    </w:p>
    <w:p>
      <w:pPr>
        <w:pPr/>
        <w:numPr>
          <w:ilvl w:val="0"/>
          <w:numId w:val="26"/>
        </w:numPr>
      </w:pPr>
      <w:r>
        <w:rPr/>
        <w:t xml:space="preserve">NF EN 410 - Verre dans la construction : détermination des caractéristiques lumineuses et solaires des vitrages.</w:t>
      </w:r>
    </w:p>
    <w:p>
      <w:pPr>
        <w:pPr/>
        <w:numPr>
          <w:ilvl w:val="0"/>
          <w:numId w:val="26"/>
        </w:numPr>
      </w:pPr>
      <w:r>
        <w:rPr/>
        <w:t xml:space="preserve">NF EN ISO 52022-3 – Performance énergétique des bâtiments – Propriétés thermiques, solaires et lumineuses des composants et éléments du bâtiment – Partie 3 : Méthode de calcul détaillée des caractéristiques solaires et lumineuse pour les dispositifs de protection solaire combinés à des vitrages.</w:t>
      </w:r>
    </w:p>
    <w:p>
      <w:pPr>
        <w:pPr/>
        <w:numPr>
          <w:ilvl w:val="0"/>
          <w:numId w:val="26"/>
        </w:numPr>
      </w:pPr>
      <w:r>
        <w:rPr/>
        <w:t xml:space="preserve">NF EN 14500 - Fermetures et stores : confort thermique et lumineux - Méthodes d’essai et de calcul.</w:t>
      </w:r>
    </w:p>
    <w:p>
      <w:pPr>
        <w:pPr/>
        <w:numPr>
          <w:ilvl w:val="0"/>
          <w:numId w:val="26"/>
        </w:numPr>
      </w:pPr>
      <w:r>
        <w:rPr/>
        <w:t xml:space="preserve">NF P50-777 – Performances thermiques des bâtiments – Parois vitrées associées ou non à des protections mobiles - Détermination du facteur de transmission solaire et lumineuse.</w:t>
      </w:r>
    </w:p>
    <w:p>
      <w:pPr>
        <w:pPr/>
        <w:numPr>
          <w:ilvl w:val="0"/>
          <w:numId w:val="26"/>
        </w:numPr>
      </w:pPr>
      <w:r>
        <w:rPr/>
        <w:t xml:space="preserve">NF EN ISO 12631 - Performance thermique des façades-rideaux - Calcul du coefficient de transmission thermique.</w:t>
      </w:r>
    </w:p>
    <w:p>
      <w:pPr>
        <w:pPr/>
        <w:numPr>
          <w:ilvl w:val="0"/>
          <w:numId w:val="26"/>
        </w:numPr>
      </w:pPr>
      <w:r>
        <w:rPr/>
        <w:t xml:space="preserve">NF EN ISO 10077-1 – Performance thermique des fenêtres, portes et fermetures — Calcul du coefficient de transmission thermique — Partie 1 : Généralités.</w:t>
      </w:r>
    </w:p>
    <w:p>
      <w:pPr>
        <w:pPr/>
        <w:numPr>
          <w:ilvl w:val="0"/>
          <w:numId w:val="26"/>
        </w:numPr>
      </w:pPr>
      <w:r>
        <w:rPr/>
        <w:t xml:space="preserve">NF EN ISO 10077-2 - Performance thermique des fenêtres, portes et fermetures - Calcul du coefficient de transmission thermique - Partie 2 : Méthode numérique pour les encadrements.</w:t>
      </w:r>
    </w:p>
    <w:p>
      <w:pPr>
        <w:pPr/>
        <w:numPr>
          <w:ilvl w:val="0"/>
          <w:numId w:val="26"/>
        </w:numPr>
      </w:pPr>
      <w:r>
        <w:rPr/>
        <w:t xml:space="preserve">NF EN 673 - Verre dans la construction – Détermination du coefficient de transmission thermique U – Méthode de calcul.</w:t>
      </w:r>
    </w:p>
    <w:p>
      <w:pPr>
        <w:pPr/>
        <w:numPr>
          <w:ilvl w:val="0"/>
          <w:numId w:val="26"/>
        </w:numPr>
      </w:pPr>
      <w:r>
        <w:rPr/>
        <w:t xml:space="preserve">NF EN 13125 - Fermetures pour baies équipées de fenêtres, stores intérieurs et extérieurs - Résistance thermique additionnelle – Attribution d’une classe de perméabilité à l’air à un produit.</w:t>
      </w:r>
    </w:p>
    <w:p>
      <w:pPr>
        <w:pPr/>
        <w:numPr>
          <w:ilvl w:val="0"/>
          <w:numId w:val="26"/>
        </w:numPr>
      </w:pPr>
      <w:r>
        <w:rPr/>
        <w:t xml:space="preserve">Toute publication technique du GS20 (Guides Techniques sur des dispositions et règles de calcul, Règles de conception, Cahiers de Prescriptions Techniques, …).</w:t>
      </w:r>
    </w:p>
    <w:p>
      <w:pPr/>
      <w:r>
        <w:rPr>
          <w:b/>
          <w:bCs/>
        </w:rPr>
        <w:t xml:space="preserve">B.    Référentiels des calculs thermiques dynamiques</w:t>
      </w:r>
    </w:p>
    <w:p>
      <w:pPr/>
      <w:r>
        <w:rPr/>
        <w:t xml:space="preserve">Ce domaine de calcul couvre la détermination des caractéristiques thermiques dynamiques telles que les admittances, les transmittances, les capacités thermiques surfaciques, le décalage spacio-temporel, le nombre de points d’inertie … des composants et des parois de bâtiments.</w:t>
      </w:r>
    </w:p>
    <w:p>
      <w:pPr>
        <w:pPr/>
        <w:numPr>
          <w:ilvl w:val="0"/>
          <w:numId w:val="27"/>
        </w:numPr>
      </w:pPr>
      <w:r>
        <w:rPr/>
        <w:t xml:space="preserve">Règles Th-Bat – Partie méthodologie – Annexe IV de l’arrêté du 4 août 2021- Règles Th-Bat 2020</w:t>
      </w:r>
    </w:p>
    <w:p>
      <w:pPr>
        <w:pPr/>
        <w:numPr>
          <w:ilvl w:val="0"/>
          <w:numId w:val="27"/>
        </w:numPr>
      </w:pPr>
      <w:r>
        <w:rPr/>
        <w:t xml:space="preserve">Données d’entrée au calcul de la performance énergétique (et ses amendements validés en commissions Th-Bat).</w:t>
      </w:r>
    </w:p>
    <w:p>
      <w:pPr>
        <w:pPr/>
        <w:numPr>
          <w:ilvl w:val="0"/>
          <w:numId w:val="27"/>
        </w:numPr>
      </w:pPr>
      <w:r>
        <w:rPr/>
        <w:t xml:space="preserve">Règles Th-Bat – Partie applicative (Publications CSTB).</w:t>
      </w:r>
    </w:p>
    <w:p>
      <w:pPr>
        <w:pPr/>
        <w:numPr>
          <w:ilvl w:val="0"/>
          <w:numId w:val="27"/>
        </w:numPr>
      </w:pPr>
      <w:r>
        <w:rPr/>
        <w:t xml:space="preserve">NF EN ISO 13786 - Performance thermique des composants du bâtiment – Caractéristiques thermiques dynamiques – Méthode de calcul.</w:t>
      </w:r>
    </w:p>
    <w:p>
      <w:pPr>
        <w:pPr/>
        <w:numPr>
          <w:ilvl w:val="0"/>
          <w:numId w:val="27"/>
        </w:numPr>
      </w:pPr>
      <w:r>
        <w:rPr/>
        <w:t xml:space="preserve">NF EN ISO 6946 – Composants et parois de bâtiments – Résistance thermique et coefficient de transmission thermique – Méthodes de calcul.</w:t>
      </w:r>
    </w:p>
    <w:p>
      <w:pPr>
        <w:pPr/>
        <w:numPr>
          <w:ilvl w:val="0"/>
          <w:numId w:val="27"/>
        </w:numPr>
      </w:pPr>
      <w:r>
        <w:rPr/>
        <w:t xml:space="preserve">NF EN ISO 10211 – Ponts thermiques dans les bâtiments - Flux thermiques et températures superficielles – Calculs détaillés.</w:t>
      </w:r>
    </w:p>
    <w:p>
      <w:pPr>
        <w:pPr/>
        <w:numPr>
          <w:ilvl w:val="0"/>
          <w:numId w:val="27"/>
        </w:numPr>
      </w:pPr>
      <w:r>
        <w:rPr/>
        <w:t xml:space="preserve">Toute publication technique du GS20 concernant ce type de calculs.</w:t>
      </w:r>
    </w:p>
    <w:p>
      <w:pPr/>
      <w:r>
        <w:rPr>
          <w:b/>
          <w:bCs/>
        </w:rPr>
        <w:t xml:space="preserve">C.    Référentiel des calculs hygrothermiques dynamiques</w:t>
      </w:r>
    </w:p>
    <w:p>
      <w:pPr/>
      <w:r>
        <w:rPr/>
        <w:t xml:space="preserve">Ce domaine couvre la détermination des évolutions de l’état hygrothermique tel que l’humidité, la teneur en eau, le risque de condensation ou de développement de moisissures … des composants, des parois et des jonctions de parois des  bâtiments.</w:t>
      </w:r>
    </w:p>
    <w:p>
      <w:pPr>
        <w:pPr/>
        <w:numPr>
          <w:ilvl w:val="0"/>
          <w:numId w:val="28"/>
        </w:numPr>
      </w:pPr>
      <w:r>
        <w:rPr/>
        <w:t xml:space="preserve">NF EN ISO 9346 - Performance hygrothermique des bâtiments et des matériaux pour le bâtiment</w:t>
      </w:r>
    </w:p>
    <w:p>
      <w:pPr>
        <w:pPr/>
        <w:numPr>
          <w:ilvl w:val="0"/>
          <w:numId w:val="28"/>
        </w:numPr>
      </w:pPr>
      <w:r>
        <w:rPr/>
        <w:t xml:space="preserve">Grandeurs physiques pour le transfert de masse – Vocabulaire.</w:t>
      </w:r>
    </w:p>
    <w:p>
      <w:pPr>
        <w:pPr/>
        <w:numPr>
          <w:ilvl w:val="0"/>
          <w:numId w:val="28"/>
        </w:numPr>
      </w:pPr>
      <w:r>
        <w:rPr/>
        <w:t xml:space="preserve">NF EN 15026 - Performance hygrothermique des composants et parois de bâtiments - Évaluation du transfert d'humidité par simulation numérique.</w:t>
      </w:r>
    </w:p>
    <w:p>
      <w:pPr>
        <w:pPr/>
        <w:numPr>
          <w:ilvl w:val="0"/>
          <w:numId w:val="28"/>
        </w:numPr>
      </w:pPr>
      <w:r>
        <w:rPr/>
        <w:t xml:space="preserve">Guide PACTE - Détermination des hypothèses pour les simulations de transferts couplés température et humidité dans les parois de bâtiment (SimHuBat).</w:t>
      </w:r>
    </w:p>
    <w:p>
      <w:pPr>
        <w:pPr/>
        <w:numPr>
          <w:ilvl w:val="0"/>
          <w:numId w:val="28"/>
        </w:numPr>
      </w:pPr>
      <w:r>
        <w:rPr/>
        <w:t xml:space="preserve">Toute publication technique du GS20 concernant ce type de calculs (par ex. Cahier 3713_version en vigueur).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A5E4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9E8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416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3AB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D350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3EEC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9387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58FE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6D7A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12F1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4548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5C26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4A27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F9A3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1F86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5FE4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EDBA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EC8F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88B2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7115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2026-03-10T07:40:41+01:00</dcterms:created>
  <dcterms:modified xsi:type="dcterms:W3CDTF">2026-03-10T07:40:41+01:00</dcterms:modified>
</cp:coreProperties>
</file>

<file path=docProps/custom.xml><?xml version="1.0" encoding="utf-8"?>
<Properties xmlns="http://schemas.openxmlformats.org/officeDocument/2006/custom-properties" xmlns:vt="http://schemas.openxmlformats.org/officeDocument/2006/docPropsVTypes"/>
</file>