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25/10/2025</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vrac des produits à base de ouate de cellulose</w:t>
      </w:r>
    </w:p>
    <w:p>
      <w:pPr/>
      <w:r>
        <w:rPr>
          <w:rStyle w:val="font_h1"/>
        </w:rPr>
        <w:t xml:space="preserve">1. Principe</w:t>
      </w:r>
    </w:p>
    <w:p>
      <w:pPr/>
      <w:r>
        <w:rPr>
          <w:rStyle w:val="font_h1"/>
        </w:rPr>
        <w:t xml:space="preserve">2. Domaine d'emploi</w:t>
      </w:r>
    </w:p>
    <w:p>
      <w:pPr/>
      <w:r>
        <w:rPr>
          <w:rStyle w:val="font_h1"/>
        </w:rPr>
        <w:t xml:space="preserve">3. Produit</w:t>
      </w:r>
    </w:p>
    <w:p>
      <w:pPr>
        <w:ind w:left="720" w:right="0"/>
      </w:pPr>
      <w:r>
        <w:rPr>
          <w:rStyle w:val="font_h2"/>
        </w:rPr>
        <w:t xml:space="preserve">3.1. Description du produit</w:t>
      </w:r>
    </w:p>
    <w:p>
      <w:pPr>
        <w:ind w:left="1440" w:right="0"/>
      </w:pPr>
      <w:r>
        <w:rPr>
          <w:rStyle w:val="font_h3"/>
        </w:rPr>
        <w:t xml:space="preserve">3.1.1. Désignation commerciale</w:t>
      </w:r>
    </w:p>
    <w:p>
      <w:pPr/>
      <w:r>
        <w:rPr/>
        <w:t xml:space="preserve">Validé par le Groupe Spécialisé le 05/02/2019</w:t>
      </w:r>
    </w:p>
    <w:p>
      <w:pPr/>
      <w:r>
        <w:rPr>
          <w:b/>
          <w:bCs/>
        </w:rPr>
        <w:t xml:space="preserve">Description</w:t>
      </w:r>
    </w:p>
    <w:p>
      <w:pPr/>
      <w:r>
        <w:rPr/>
        <w:t xml:space="preserve">JD 19-4 :</w:t>
      </w:r>
    </w:p>
    <w:p>
      <w:pPr/>
      <w:r>
        <w:rPr/>
        <w:t xml:space="preserve">La désignation commerciale du produit intégrant le procédé doit être mentionnée dans tous les rapports d’essais cités dans l’Avis Technique.</w:t>
      </w:r>
    </w:p>
    <w:p>
      <w:pPr>
        <w:ind w:left="720" w:right="0"/>
      </w:pPr>
      <w:r>
        <w:rPr>
          <w:rStyle w:val="font_h2"/>
        </w:rPr>
        <w:t xml:space="preserve">3.2. Caractéristiques du produit</w:t>
      </w:r>
    </w:p>
    <w:p>
      <w:pPr>
        <w:ind w:left="1440" w:right="0"/>
      </w:pPr>
      <w:r>
        <w:rPr>
          <w:rStyle w:val="font_h3"/>
        </w:rPr>
        <w:t xml:space="preserve">3.2.1. Tassement</w:t>
      </w:r>
    </w:p>
    <w:p>
      <w:pPr/>
      <w:r>
        <w:rPr/>
        <w:t xml:space="preserve">Validé par le Groupe Spécialisé le 24/01/2017</w:t>
      </w:r>
    </w:p>
    <w:p>
      <w:pPr/>
      <w:r>
        <w:rPr>
          <w:b/>
          <w:bCs/>
        </w:rPr>
        <w:t xml:space="preserve">Description</w:t>
      </w:r>
    </w:p>
    <w:p>
      <w:pPr/>
      <w:r>
        <w:rPr/>
        <w:t xml:space="preserve">Déterminer les valeurs de tassement pour toutes les épaisseurs revendiquées.</w:t>
      </w:r>
    </w:p>
    <w:p>
      <w:pPr/>
      <w:r>
        <w:rPr>
          <w:b/>
          <w:bCs/>
        </w:rPr>
        <w:t xml:space="preserve">Justification</w:t>
      </w:r>
    </w:p>
    <w:p>
      <w:pPr/>
      <w:r>
        <w:rPr/>
        <w:t xml:space="preserve">Justification pour les épaisseurs jusqu'à 300 mm selon la norme NF-EN 15101.</w:t>
      </w:r>
    </w:p>
    <w:p>
      <w:pPr/>
      <w:r>
        <w:rPr/>
        <w:t xml:space="preserve">Pour les épaisseurs supérieures à 300 mm, par essais, étude, note,..</w:t>
      </w:r>
    </w:p>
    <w:p>
      <w:pPr>
        <w:ind w:left="1440" w:right="0"/>
      </w:pPr>
      <w:r>
        <w:rPr>
          <w:rStyle w:val="font_h3"/>
        </w:rPr>
        <w:t xml:space="preserve">3.2.2. Autres caractéristiques</w:t>
      </w:r>
    </w:p>
    <w:p>
      <w:pPr>
        <w:ind w:left="1440" w:right="0"/>
      </w:pPr>
      <w:r>
        <w:rPr>
          <w:rStyle w:val="font_h3"/>
        </w:rPr>
        <w:t xml:space="preserve">3.2.3. Conditionnement</w:t>
      </w:r>
    </w:p>
    <w:p>
      <w:pPr>
        <w:ind w:left="1440" w:right="0"/>
      </w:pPr>
      <w:r>
        <w:rPr>
          <w:rStyle w:val="font_h3"/>
        </w:rPr>
        <w:t xml:space="preserve">3.2.4. Réaction au feu</w:t>
      </w:r>
    </w:p>
    <w:p>
      <w:pPr/>
      <w:r>
        <w:rPr/>
        <w:t xml:space="preserve">Validé par le Groupe Spécialisé le 27/05/2019</w:t>
      </w:r>
    </w:p>
    <w:p>
      <w:pPr/>
      <w:r>
        <w:rPr>
          <w:b/>
          <w:bCs/>
        </w:rPr>
        <w:t xml:space="preserve">Description</w:t>
      </w:r>
    </w:p>
    <w:p>
      <w:pPr/>
      <w:r>
        <w:rPr/>
        <w:t xml:space="preserve">JD 19-5 :</w:t>
      </w:r>
    </w:p>
    <w:p>
      <w:pPr/>
      <w:r>
        <w:rPr/>
        <w:t xml:space="preserve">Fournir le rapport d’essai et le rapport de classement.Préciser dans le DTED la configuration exacte d’essai : produit testé seul ou avec parement, grille, …L’euroclasse correspondant au produit seul doit être précisée dans le DTED.Dans le cas de marquage CE, le laboratoire d’essais doit être notifié pour la caractéristique réaction au feu.</w:t>
      </w:r>
    </w:p>
    <w:p>
      <w:pPr/>
      <w:r>
        <w:rPr>
          <w:rStyle w:val="font_h1"/>
        </w:rPr>
        <w:t xml:space="preserve">4. Fabrication et contrôles</w:t>
      </w:r>
    </w:p>
    <w:p>
      <w:pPr>
        <w:ind w:left="720" w:right="0"/>
      </w:pPr>
      <w:r>
        <w:rPr>
          <w:rStyle w:val="font_h2"/>
        </w:rPr>
        <w:t xml:space="preserve">4.1. Fabrication</w:t>
      </w:r>
    </w:p>
    <w:p>
      <w:pPr>
        <w:ind w:left="720" w:right="0"/>
      </w:pPr>
      <w:r>
        <w:rPr>
          <w:rStyle w:val="font_h2"/>
        </w:rPr>
        <w:t xml:space="preserve">4.2. Contrôles en usine</w:t>
      </w:r>
    </w:p>
    <w:p>
      <w:pPr>
        <w:ind w:left="720" w:right="0"/>
      </w:pPr>
      <w:r>
        <w:rPr>
          <w:rStyle w:val="font_h2"/>
        </w:rPr>
        <w:t xml:space="preserve">4.3. Contrôles sur chantier</w:t>
      </w:r>
    </w:p>
    <w:p>
      <w:pPr>
        <w:ind w:left="1440" w:right="0"/>
      </w:pPr>
      <w:r>
        <w:rPr>
          <w:rStyle w:val="font_h3"/>
        </w:rPr>
        <w:t xml:space="preserve">4.3.1. Masse d'isolant mise en oeuvre</w:t>
      </w:r>
    </w:p>
    <w:p>
      <w:pPr>
        <w:ind w:left="1440" w:right="0"/>
      </w:pPr>
      <w:r>
        <w:rPr>
          <w:rStyle w:val="font_h3"/>
        </w:rPr>
        <w:t xml:space="preserve">4.3.2. Mesure de l'épaisseur de l'isolant</w:t>
      </w:r>
    </w:p>
    <w:p>
      <w:pPr/>
      <w:r>
        <w:rPr>
          <w:rStyle w:val="font_h1"/>
        </w:rPr>
        <w:t xml:space="preserve">5. Mise en oeuvre</w:t>
      </w:r>
    </w:p>
    <w:p>
      <w:pPr>
        <w:ind w:left="720" w:right="0"/>
      </w:pPr>
      <w:r>
        <w:rPr>
          <w:rStyle w:val="font_h2"/>
        </w:rPr>
        <w:t xml:space="preserve">5.1. Reconnaissance du comble et préparation du plancher</w:t>
      </w:r>
    </w:p>
    <w:p>
      <w:pPr/>
      <w:r>
        <w:rPr/>
        <w:t xml:space="preserve">Validé par le Groupe Spécialisé le 10/04/2018</w:t>
      </w:r>
    </w:p>
    <w:p>
      <w:pPr/>
      <w:r>
        <w:rPr>
          <w:b/>
          <w:bCs/>
        </w:rPr>
        <w:t xml:space="preserve">Description</w:t>
      </w:r>
    </w:p>
    <w:p>
      <w:pPr/>
      <w:r>
        <w:rPr>
          <w:b/>
          <w:bCs/>
          <w:i/>
          <w:iCs/>
        </w:rPr>
        <w:t xml:space="preserve">Traitement des éléments dégageant de la chaleur et conduit de fumée</w:t>
      </w:r>
    </w:p>
    <w:p>
      <w:pPr/>
      <w:r>
        <w:rPr>
          <w:b/>
          <w:bCs/>
        </w:rPr>
        <w:t xml:space="preserve">Jurisprudence J17-3 : </w:t>
      </w:r>
    </w:p>
    <w:p>
      <w:pPr/>
      <w:r>
        <w:rPr/>
        <w:t xml:space="preserve">Les Avis Techniques ou Documents Techniques d’Application de procédés d’isolation par soufflage d’isolant en vrac devront inclure dans leur Dossier Technique les figures d’intégration des spots conformément au cahier CSTB 3693_V2 de juin 2015, "cahier des Prescriptions Techniques communes de mise en œuvre des procédés d’isolation thermique de combles par soufflage d’isolant en vrac."</w:t>
      </w:r>
    </w:p>
    <w:p>
      <w:pPr/>
      <w:r>
        <w:rPr>
          <w:b/>
          <w:bCs/>
          <w:i/>
          <w:iCs/>
        </w:rPr>
        <w:t xml:space="preserve">Prescriptions relatives au choix et à la mise en place du déflecteur</w:t>
      </w:r>
    </w:p>
    <w:p>
      <w:pPr/>
      <w:r>
        <w:rPr>
          <w:b/>
          <w:bCs/>
        </w:rPr>
        <w:t xml:space="preserve">Jurisprudence J17-14 : </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pPr/>
        <w:numPr>
          <w:ilvl w:val="0"/>
          <w:numId w:val="9"/>
        </w:numPr>
      </w:pPr>
      <w:r>
        <w:rPr/>
        <w:t xml:space="preserve">Masse volumique de l’isolant ≥ 11 kg / m3 ;</w:t>
      </w:r>
    </w:p>
    <w:p>
      <w:pPr>
        <w:pPr/>
        <w:numPr>
          <w:ilvl w:val="0"/>
          <w:numId w:val="9"/>
        </w:numPr>
      </w:pPr>
      <w:r>
        <w:rPr/>
        <w:t xml:space="preserve">Mise en oeuvre d’un déflecteur conforme au CPT 3693_V2 de juin 2015.</w:t>
      </w:r>
    </w:p>
    <w:p>
      <w:pPr/>
      <w:r>
        <w:rPr/>
        <w:t xml:space="preserve">Dès lors qu’il y un autre dispositif mis en place autre que celui revendiqué dans le CPT 3693, il convient de réaliser un essai en soufflerie pour valider le domaine d’emploi dans les nouvelles dispositions.</w:t>
      </w:r>
    </w:p>
    <w:p>
      <w:pPr/>
      <w:r>
        <w:rPr>
          <w:b/>
          <w:bCs/>
        </w:rPr>
        <w:t xml:space="preserve">Jurisprudence J18-1 : </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pPr/>
        <w:numPr>
          <w:ilvl w:val="0"/>
          <w:numId w:val="10"/>
        </w:numPr>
      </w:pPr>
      <w:r>
        <w:rPr/>
        <w:t xml:space="preserve">Le respect de la ventilation sous la couverture,</w:t>
      </w:r>
    </w:p>
    <w:p>
      <w:pPr>
        <w:pPr/>
        <w:numPr>
          <w:ilvl w:val="0"/>
          <w:numId w:val="10"/>
        </w:numPr>
      </w:pPr>
      <w:r>
        <w:rPr/>
        <w:t xml:space="preserve">L’homogénéité de l’isolation. »</w:t>
      </w:r>
    </w:p>
    <w:p>
      <w:pPr/>
      <w:r>
        <w:rPr>
          <w:b/>
          <w:bCs/>
        </w:rPr>
        <w:t xml:space="preserve">Illustration</w:t>
      </w:r>
    </w:p>
    <w:p>
      <w:pPr/>
      <w:r>
        <w:rPr/>
        <w:t xml:space="preserve">Figures tirées du CPT 3693_V2 de juin 2015</w:t>
      </w:r>
      <w:r>
        <w:pict>
          <v:shape type="#_x0000_t75" style="width:729pt; height:499pt; margin-left:0pt; margin-top:0pt; mso-position-horizontal:left; mso-position-vertical:top; mso-position-horizontal-relative:char;">
            <w10:wrap type="inline"/>
            <v:imagedata r:id="rId7" o:title=""/>
          </v:shape>
        </w:pict>
      </w:r>
      <w:r>
        <w:pict>
          <v:shape type="#_x0000_t75" style="width:691pt; height:466pt; margin-left:0pt; margin-top:0pt; mso-position-horizontal:left; mso-position-vertical:top; mso-position-horizontal-relative:char;">
            <w10:wrap type="inline"/>
            <v:imagedata r:id="rId8" o:title=""/>
          </v:shape>
        </w:pict>
      </w:r>
      <w:r>
        <w:pict>
          <v:shape type="#_x0000_t75" style="width:727pt; height:583pt; margin-left:0pt; margin-top:0pt; mso-position-horizontal:left; mso-position-vertical:top; mso-position-horizontal-relative:char;">
            <w10:wrap type="inline"/>
            <v:imagedata r:id="rId9" o:title=""/>
          </v:shape>
        </w:pict>
      </w:r>
      <w:r>
        <w:pict>
          <v:shape type="#_x0000_t75" style="width:715pt; height:316pt; margin-left:0pt; margin-top:0pt; mso-position-horizontal:left; mso-position-vertical:top; mso-position-horizontal-relative:char;">
            <w10:wrap type="inline"/>
            <v:imagedata r:id="rId10" o:title=""/>
          </v:shape>
        </w:pic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45CAEC9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F5F1B04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2025-10-25T06:25:07+02:00</dcterms:created>
  <dcterms:modified xsi:type="dcterms:W3CDTF">2025-10-25T06:25:07+02:00</dcterms:modified>
</cp:coreProperties>
</file>

<file path=docProps/custom.xml><?xml version="1.0" encoding="utf-8"?>
<Properties xmlns="http://schemas.openxmlformats.org/officeDocument/2006/custom-properties" xmlns:vt="http://schemas.openxmlformats.org/officeDocument/2006/docPropsVTypes"/>
</file>