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17/02/2026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liège expansé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à l'EAD 040083-00-0404 (European Assessment Document), en version anglaise émise par l’Organisme d’Évaluation Technique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envisagées(DROM et/ou France métropolitaine).</w:t>
      </w:r>
    </w:p>
    <w:p>
      <w:pPr/>
      <w:r>
        <w:rPr/>
        <w:t xml:space="preserve">N.B:  - en cas de finition plaquettes de parement en terre cuite :</w:t>
      </w:r>
    </w:p>
    <w:p>
      <w:pP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collage et de calage</w:t>
      </w:r>
    </w:p>
    <w:p>
      <w:pPr/>
      <w:r>
        <w:rPr/>
        <w:t xml:space="preserve">Validé par le Groupe Spécialisé le 23/09/2021</w:t>
      </w:r>
    </w:p>
    <w:p>
      <w:pPr/>
      <w:r>
        <w:rPr>
          <w:b/>
          <w:bCs/>
        </w:rPr>
        <w:t xml:space="preserve">Description</w:t>
      </w:r>
    </w:p>
    <w:p>
      <w:pPr/>
      <w:r>
        <w:rPr/>
        <w:t xml:space="preserve">Description des produits de collage et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à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mode de pose visé, description des caractéristiques et performances des panneaux isolants de liège visés.</w:t>
      </w:r>
    </w:p>
    <w:p>
      <w:pPr/>
      <w:r>
        <w:rPr/>
        <w:t xml:space="preserve">N.B : La rédaction du paragraphe « panneaux isolants » sera modifiée en précisant :</w:t>
      </w:r>
    </w:p>
    <w:p>
      <w:pPr>
        <w:pPr/>
        <w:numPr>
          <w:ilvl w:val="0"/>
          <w:numId w:val="11"/>
        </w:numPr>
      </w:pPr>
      <w:r>
        <w:rPr/>
        <w:t xml:space="preserve">la norme isolant des panneaux isolants visés,</w:t>
      </w:r>
    </w:p>
    <w:p>
      <w:pPr>
        <w:pPr/>
        <w:numPr>
          <w:ilvl w:val="0"/>
          <w:numId w:val="11"/>
        </w:numPr>
      </w:pPr>
      <w:r>
        <w:rPr/>
        <w:t xml:space="preserve">le fait que les panneaux isolants bénéficient du marquage CE,</w:t>
      </w:r>
    </w:p>
    <w:p>
      <w:pPr>
        <w:pPr/>
        <w:numPr>
          <w:ilvl w:val="0"/>
          <w:numId w:val="11"/>
        </w:numPr>
      </w:pPr>
      <w:r>
        <w:rPr/>
        <w:t xml:space="preserve">la référence à la Déclaration des Performances (DdP) du panneau,</w:t>
      </w:r>
    </w:p>
    <w:p>
      <w:pPr>
        <w:pPr/>
        <w:numPr>
          <w:ilvl w:val="0"/>
          <w:numId w:val="11"/>
        </w:numPr>
      </w:pPr>
      <w:r>
        <w:rPr/>
        <w:t xml:space="preserve">Le cas échéant :</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 ou le numéro de certificat Keymark,</w:t>
      </w:r>
    </w:p>
    <w:p>
      <w:pPr>
        <w:pPr/>
        <w:numPr>
          <w:ilvl w:val="1"/>
          <w:numId w:val="11"/>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2"/>
        </w:numPr>
      </w:pPr>
      <w:r>
        <w:rPr/>
        <w:t xml:space="preserve">Déclaration de Performances</w:t>
      </w:r>
    </w:p>
    <w:p>
      <w:pPr>
        <w:pPr/>
        <w:numPr>
          <w:ilvl w:val="0"/>
          <w:numId w:val="12"/>
        </w:numPr>
      </w:pPr>
      <w:r>
        <w:rPr/>
        <w:t xml:space="preserve">Fiche de Données de Sécurité, si concerné par les réglementations REACH, </w:t>
      </w:r>
    </w:p>
    <w:p>
      <w:pPr>
        <w:pPr/>
        <w:numPr>
          <w:ilvl w:val="0"/>
          <w:numId w:val="12"/>
        </w:numPr>
      </w:pPr>
      <w:r>
        <w:rPr/>
        <w:t xml:space="preserve">Fiche volontaire d'information et de sécurité si disponible,</w:t>
      </w:r>
    </w:p>
    <w:p>
      <w:pPr>
        <w:pPr/>
        <w:numPr>
          <w:ilvl w:val="0"/>
          <w:numId w:val="12"/>
        </w:numPr>
      </w:pPr>
      <w:r>
        <w:rPr/>
        <w:t xml:space="preserve">La valeur de PCS du matériau (MJ/m²/mm),</w:t>
      </w:r>
    </w:p>
    <w:p>
      <w:pPr>
        <w:pPr/>
        <w:numPr>
          <w:ilvl w:val="0"/>
          <w:numId w:val="12"/>
        </w:numPr>
      </w:pPr>
      <w:r>
        <w:rPr/>
        <w:t xml:space="preserve">Certificat de constance des performances et des caractéristiques des panneaux (Keymark, ACERMI, ou équivalent),</w:t>
      </w:r>
    </w:p>
    <w:p>
      <w:pPr>
        <w:pPr/>
        <w:numPr>
          <w:ilvl w:val="0"/>
          <w:numId w:val="12"/>
        </w:numPr>
      </w:pPr>
      <w:r>
        <w:rPr/>
        <w:t xml:space="preserve">En l'absence de certificat ACERMI, la liste des contrôles internes réalisés et fréquences associées en usine,</w:t>
      </w:r>
    </w:p>
    <w:p>
      <w:pPr>
        <w:pPr/>
        <w:numPr>
          <w:ilvl w:val="0"/>
          <w:numId w:val="12"/>
        </w:numPr>
      </w:pPr>
      <w:r>
        <w:rPr/>
        <w:t xml:space="preserve">Justificatif d’essai de stabilité dimensionnelle après action de l’humidité selon la norme NF EN 13170 du type « DS(70,90) »,</w:t>
      </w:r>
    </w:p>
    <w:p>
      <w:pPr>
        <w:pPr/>
        <w:numPr>
          <w:ilvl w:val="0"/>
          <w:numId w:val="12"/>
        </w:numPr>
      </w:pPr>
      <w:r>
        <w:rPr/>
        <w:t xml:space="preserve">Evaluation de la vulnérabilité au développement fongique des panneaux selon le protocole décrit dans le Guide technique spécialisé pour la constitution d’un dossier de demande d’Avis Technique : Isolants à base de fibres végétales ou animales (Cahier 3713_V2),</w:t>
      </w:r>
    </w:p>
    <w:p>
      <w:pPr>
        <w:pPr/>
        <w:numPr>
          <w:ilvl w:val="0"/>
          <w:numId w:val="12"/>
        </w:numPr>
      </w:pPr>
      <w:r>
        <w:rPr/>
        <w:t xml:space="preserve">Justification générique ou particulière du déboutonnage des fixations (chevilles, clous) dans chacune des références de panneaux visée.</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Pour chaque mode de fixation mécanique visé, fournir la liste des chevilles de fixations visée (référence, et numéro d'ETE associé).</w:t>
      </w:r>
    </w:p>
    <w:p>
      <w:pPr/>
      <w:r>
        <w:rPr/>
        <w:t xml:space="preserve">N.B :</w:t>
      </w:r>
    </w:p>
    <w:p>
      <w:pPr>
        <w:pPr/>
        <w:numPr>
          <w:ilvl w:val="0"/>
          <w:numId w:val="13"/>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4"/>
        </w:numPr>
      </w:pPr>
      <w:r>
        <w:rPr/>
        <w:t xml:space="preserve">Évaluations Techniques Européennes des chevilles de fixation conformément au European Assessment Document (EAD 330196-00-0604)2, au Guide d’Agrément Technique Européen n°014 (ETAG 014)1, ou à un EAD ou à une évaluation technique traitant de la pose d’ETICS, en version anglaise émise par l’Organisme d’Évaluation Technique.</w:t>
      </w:r>
    </w:p>
    <w:p>
      <w:pPr>
        <w:pPr/>
        <w:numPr>
          <w:ilvl w:val="0"/>
          <w:numId w:val="14"/>
        </w:numPr>
      </w:pPr>
      <w:r>
        <w:rPr/>
        <w:t xml:space="preserve">Au-delà de 15 fixations par m², une justification de la tenue de l’enduit (essais d’adhérence) sur la cheville est demandée.</w:t>
      </w:r>
    </w:p>
    <w:p>
      <w:pPr>
        <w:ind w:left="1440" w:right="0"/>
      </w:pPr>
      <w:r>
        <w:rPr>
          <w:rStyle w:val="font_h3"/>
        </w:rPr>
        <w:t xml:space="preserve">3.1.5.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5"/>
        </w:numPr>
      </w:pPr>
      <w:r>
        <w:rPr/>
        <w:t xml:space="preserve">Fiche technique du composant en version française, indiquant la nature, les caractéristiques, les conditionnements, etc.</w:t>
      </w:r>
    </w:p>
    <w:p>
      <w:pPr>
        <w:pPr/>
        <w:numPr>
          <w:ilvl w:val="0"/>
          <w:numId w:val="15"/>
        </w:numPr>
      </w:pPr>
      <w:r>
        <w:rPr/>
        <w:t xml:space="preserve">Résultats des essais d’identification des composants, conformément à l’Annexe C de l’ETAG 004 ou à l'Annexe A de l'EAD 040083-00-0404 (European Assessment Document).</w:t>
      </w:r>
    </w:p>
    <w:p>
      <w:pPr>
        <w:pPr/>
        <w:numPr>
          <w:ilvl w:val="0"/>
          <w:numId w:val="15"/>
        </w:numPr>
      </w:pPr>
      <w:r>
        <w:rPr/>
        <w:t xml:space="preserve">Fiche de Données de Sécurité (FDS) du composant.</w:t>
      </w:r>
    </w:p>
    <w:p>
      <w:pPr>
        <w:ind w:left="1440" w:right="0"/>
      </w:pPr>
      <w:r>
        <w:rPr>
          <w:rStyle w:val="font_h3"/>
        </w:rPr>
        <w:t xml:space="preserve">3.1.6. Armatures</w:t>
      </w:r>
    </w:p>
    <w:p>
      <w:pPr/>
      <w:r>
        <w:rPr/>
        <w:t xml:space="preserve">Validé par le Groupe Spécialisé le 23/09/2021</w:t>
      </w:r>
    </w:p>
    <w:p>
      <w:pPr/>
      <w:r>
        <w:rPr>
          <w:b/>
          <w:bCs/>
        </w:rPr>
        <w:t xml:space="preserve">Description</w:t>
      </w:r>
    </w:p>
    <w:p>
      <w:pPr/>
      <w:r>
        <w:rPr/>
        <w:t xml:space="preserve">Pour chaque mode de fixation visé, 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3.1.7.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6"/>
        </w:numPr>
      </w:pPr>
      <w:r>
        <w:rPr/>
        <w:t xml:space="preserve">Fiches techniques des composants en version française, indiquant les natures, les caractéristiques, les conditionnements, etc.</w:t>
      </w:r>
    </w:p>
    <w:p>
      <w:pPr>
        <w:pPr/>
        <w:numPr>
          <w:ilvl w:val="0"/>
          <w:numId w:val="16"/>
        </w:numPr>
      </w:pPr>
      <w:r>
        <w:rPr/>
        <w:t xml:space="preserve">Résultats des essais d’identification des composants, conformément à l’Annexe C de l’ETAG 004 ou à l'Annexe A de l'EAD 040083-00-0404 (European Assessment Document).</w:t>
      </w:r>
    </w:p>
    <w:p>
      <w:pPr>
        <w:pPr/>
        <w:numPr>
          <w:ilvl w:val="0"/>
          <w:numId w:val="16"/>
        </w:numPr>
      </w:pPr>
      <w:r>
        <w:rPr/>
        <w:t xml:space="preserve">Fiches de Données de Sécurité (FDS) des composants.</w:t>
      </w:r>
    </w:p>
    <w:p>
      <w:pPr>
        <w:ind w:left="1440" w:right="0"/>
      </w:pPr>
      <w:r>
        <w:rPr>
          <w:rStyle w:val="font_h3"/>
        </w:rPr>
        <w:t xml:space="preserve">3.1.8.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à l'Annexe A de l'EAD 040083-00-0404 (European Assessment Document).</w:t>
      </w:r>
    </w:p>
    <w:p>
      <w:pPr>
        <w:pPr/>
        <w:numPr>
          <w:ilvl w:val="0"/>
          <w:numId w:val="17"/>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de l'EAD 040083-00-0404 (European Assessment Document).</w:t>
      </w:r>
    </w:p>
    <w:p>
      <w:pPr/>
      <w:r>
        <w:rPr/>
        <w:t xml:space="preserve">N.B:</w:t>
      </w:r>
    </w:p>
    <w:p>
      <w:pPr>
        <w:pPr/>
        <w:numPr>
          <w:ilvl w:val="0"/>
          <w:numId w:val="18"/>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19"/>
        </w:numPr>
      </w:pPr>
      <w:r>
        <w:rPr/>
        <w:t xml:space="preserve">Transmission de vapeur d’eau : μ ≤ 100. </w:t>
      </w:r>
    </w:p>
    <w:p>
      <w:pPr>
        <w:pPr/>
        <w:numPr>
          <w:ilvl w:val="0"/>
          <w:numId w:val="19"/>
        </w:numPr>
      </w:pPr>
      <w:r>
        <w:rPr/>
        <w:t xml:space="preserve">Résistance en compression : CS(10) ≥ 40.</w:t>
      </w:r>
    </w:p>
    <w:p>
      <w:pPr/>
      <w:r>
        <w:rPr/>
        <w:t xml:space="preserve">Ainsi que l’une des 2 caractéristiques suivantes :</w:t>
      </w:r>
    </w:p>
    <w:p>
      <w:pPr>
        <w:pPr/>
        <w:numPr>
          <w:ilvl w:val="0"/>
          <w:numId w:val="20"/>
        </w:numPr>
      </w:pPr>
      <w:r>
        <w:rPr/>
        <w:t xml:space="preserve">Masse volumique apparente (kg/m3) : environ 30 et Classement ISOLE I ≥ 2 S ≥ 1 O ≥ 2 L ≥ 3 E ≥ 2</w:t>
      </w:r>
    </w:p>
    <w:p>
      <w:pPr/>
      <w:r>
        <w:rPr/>
        <w:t xml:space="preserve">ou</w:t>
      </w:r>
    </w:p>
    <w:p>
      <w:pPr>
        <w:pPr/>
        <w:numPr>
          <w:ilvl w:val="0"/>
          <w:numId w:val="21"/>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23/09/2021</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2"/>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3"/>
        </w:numPr>
      </w:pPr>
      <w:r>
        <w:rPr/>
        <w:t xml:space="preserve">Certificat ISO 9001 des usines de fabrication du produit de base (le cas échéant).</w:t>
      </w:r>
    </w:p>
    <w:p>
      <w:pPr>
        <w:pPr/>
        <w:numPr>
          <w:ilvl w:val="0"/>
          <w:numId w:val="23"/>
        </w:numPr>
      </w:pPr>
      <w:r>
        <w:rPr/>
        <w:t xml:space="preserve">Informations relatives aux usines de fabrication des composants fabriqués par le demandeur :</w:t>
      </w:r>
    </w:p>
    <w:p>
      <w:pPr>
        <w:pPr/>
        <w:numPr>
          <w:ilvl w:val="1"/>
          <w:numId w:val="23"/>
        </w:numPr>
      </w:pPr>
      <w:r>
        <w:rPr/>
        <w:t xml:space="preserve">localisation ;</w:t>
      </w:r>
    </w:p>
    <w:p>
      <w:pPr>
        <w:pPr/>
        <w:numPr>
          <w:ilvl w:val="1"/>
          <w:numId w:val="23"/>
        </w:numPr>
      </w:pPr>
      <w:r>
        <w:rPr/>
        <w:t xml:space="preserve">directeur d’usine ;</w:t>
      </w:r>
    </w:p>
    <w:p>
      <w:pPr>
        <w:pPr/>
        <w:numPr>
          <w:ilvl w:val="1"/>
          <w:numId w:val="23"/>
        </w:numPr>
      </w:pPr>
      <w:r>
        <w:rPr/>
        <w:t xml:space="preserve">responsable de la production ;</w:t>
      </w:r>
    </w:p>
    <w:p>
      <w:pPr>
        <w:pPr/>
        <w:numPr>
          <w:ilvl w:val="1"/>
          <w:numId w:val="23"/>
        </w:numPr>
      </w:pPr>
      <w:r>
        <w:rPr/>
        <w:t xml:space="preserve">responsable qualité ;</w:t>
      </w:r>
    </w:p>
    <w:p>
      <w:pPr>
        <w:pPr/>
        <w:numPr>
          <w:ilvl w:val="1"/>
          <w:numId w:val="23"/>
        </w:numPr>
      </w:pPr>
      <w:r>
        <w:rPr/>
        <w:t xml:space="preserve">responsable du laboratoire ;</w:t>
      </w:r>
    </w:p>
    <w:p>
      <w:pPr>
        <w:pPr/>
        <w:numPr>
          <w:ilvl w:val="1"/>
          <w:numId w:val="23"/>
        </w:numPr>
      </w:pPr>
      <w:r>
        <w:rPr/>
        <w:t xml:space="preserve">description de la procédure de traitement des non conformités ;</w:t>
      </w:r>
    </w:p>
    <w:p>
      <w:pPr>
        <w:pPr/>
        <w:numPr>
          <w:ilvl w:val="1"/>
          <w:numId w:val="23"/>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sur les composants principaux</w:t>
      </w:r>
    </w:p>
    <w:p>
      <w:pPr/>
      <w:r>
        <w:rPr/>
        <w:t xml:space="preserve">Validé par le Groupe Spécialisé le 23/09/2021</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4"/>
        </w:numPr>
      </w:pPr>
      <w:r>
        <w:rPr/>
        <w:t xml:space="preserve">Plan de contrôle associé à l’Évaluation Technique Européenne de l’ETICS, émis par l’Organisme d’Évaluation Technique.</w:t>
      </w:r>
    </w:p>
    <w:p>
      <w:pPr>
        <w:pPr/>
        <w:numPr>
          <w:ilvl w:val="0"/>
          <w:numId w:val="24"/>
        </w:numPr>
      </w:pPr>
      <w:r>
        <w:rPr/>
        <w:t xml:space="preserve">Registre de contrôle de production des composants principaux.</w:t>
      </w:r>
    </w:p>
    <w:p>
      <w:pPr/>
      <w:r>
        <w:rPr/>
        <w:t xml:space="preserve">Système ETICS ne disposant pas d'une ETE:</w:t>
      </w:r>
    </w:p>
    <w:p>
      <w:pPr>
        <w:pPr/>
        <w:numPr>
          <w:ilvl w:val="0"/>
          <w:numId w:val="25"/>
        </w:numPr>
      </w:pPr>
      <w:r>
        <w:rPr/>
        <w:t xml:space="preserve">Description des contrôles de fabrication des composants fabriqués par le demandeur (sur lesmatières premières, en cours de fabrication et sur le composant fini) :</w:t>
      </w:r>
    </w:p>
    <w:p>
      <w:pPr>
        <w:pPr/>
        <w:numPr>
          <w:ilvl w:val="1"/>
          <w:numId w:val="25"/>
        </w:numPr>
      </w:pPr>
      <w:r>
        <w:rPr/>
        <w:t xml:space="preserve">nature des contrôles ;</w:t>
      </w:r>
    </w:p>
    <w:p>
      <w:pPr>
        <w:pPr/>
        <w:numPr>
          <w:ilvl w:val="1"/>
          <w:numId w:val="25"/>
        </w:numPr>
      </w:pPr>
      <w:r>
        <w:rPr/>
        <w:t xml:space="preserve">méthodes d’essais associées ;</w:t>
      </w:r>
    </w:p>
    <w:p>
      <w:pPr>
        <w:pPr/>
        <w:numPr>
          <w:ilvl w:val="1"/>
          <w:numId w:val="25"/>
        </w:numPr>
      </w:pPr>
      <w:r>
        <w:rPr/>
        <w:t xml:space="preserve">fréquences ;</w:t>
      </w:r>
    </w:p>
    <w:p>
      <w:pPr>
        <w:pPr/>
        <w:numPr>
          <w:ilvl w:val="1"/>
          <w:numId w:val="25"/>
        </w:numPr>
      </w:pPr>
      <w:r>
        <w:rPr/>
        <w:t xml:space="preserve">valeurs attendues (fourchettes).</w:t>
      </w:r>
    </w:p>
    <w:p>
      <w:pPr>
        <w:pPr/>
        <w:numPr>
          <w:ilvl w:val="0"/>
          <w:numId w:val="25"/>
        </w:numPr>
      </w:pPr>
      <w:r>
        <w:rPr/>
        <w:t xml:space="preserve">Registres de contrôle des dix dernières fabrications (au minimum) des composants fabriqués par le demandeur.</w:t>
      </w:r>
    </w:p>
    <w:p>
      <w:pPr>
        <w:pPr/>
        <w:numPr>
          <w:ilvl w:val="0"/>
          <w:numId w:val="25"/>
        </w:numPr>
      </w:pPr>
      <w:r>
        <w:rPr/>
        <w:t xml:space="preserve">Description des dispositions prises par le demandeur pour s’assurer de la constance desperformances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6"/>
        </w:numPr>
      </w:pPr>
      <w:r>
        <w:rPr/>
        <w:t xml:space="preserve">Plan de contrôle associé à l’Évaluation Technique Européenne de l’ETICS, émis par l’Organisme d’Évaluation Technique.</w:t>
      </w:r>
    </w:p>
    <w:p>
      <w:pPr>
        <w:pPr/>
        <w:numPr>
          <w:ilvl w:val="0"/>
          <w:numId w:val="26"/>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5.1.1.1. Fixation par collage</w:t>
      </w:r>
    </w:p>
    <w:p>
      <w:pPr/>
      <w:r>
        <w:rPr/>
        <w:t xml:space="preserve">Validé par le Groupe Spécialisé le 23/09/2021</w:t>
      </w:r>
    </w:p>
    <w:p>
      <w:pPr/>
      <w:r>
        <w:rPr>
          <w:b/>
          <w:bCs/>
        </w:rPr>
        <w:t xml:space="preserve">Description</w:t>
      </w:r>
    </w:p>
    <w:p>
      <w:pPr/>
      <w:r>
        <w:rPr/>
        <w:t xml:space="preserve">Description précise de la mise en œuvre de fixation par collage, notamment pour chacun des produits de collage :</w:t>
      </w:r>
    </w:p>
    <w:p>
      <w:pPr>
        <w:pPr/>
        <w:numPr>
          <w:ilvl w:val="0"/>
          <w:numId w:val="27"/>
        </w:numPr>
      </w:pPr>
      <w:r>
        <w:rPr/>
        <w:t xml:space="preserve">préparation, </w:t>
      </w:r>
    </w:p>
    <w:p>
      <w:pPr>
        <w:pPr/>
        <w:numPr>
          <w:ilvl w:val="0"/>
          <w:numId w:val="27"/>
        </w:numPr>
      </w:pPr>
      <w:r>
        <w:rPr/>
        <w:t xml:space="preserve">durée pratique d’utilisation, </w:t>
      </w:r>
    </w:p>
    <w:p>
      <w:pPr>
        <w:pPr/>
        <w:numPr>
          <w:ilvl w:val="0"/>
          <w:numId w:val="27"/>
        </w:numPr>
      </w:pPr>
      <w:r>
        <w:rPr/>
        <w:t xml:space="preserve">mode d’application, </w:t>
      </w:r>
    </w:p>
    <w:p>
      <w:pPr>
        <w:pPr/>
        <w:numPr>
          <w:ilvl w:val="0"/>
          <w:numId w:val="27"/>
        </w:numPr>
      </w:pPr>
      <w:r>
        <w:rPr/>
        <w:t xml:space="preserve">consommations minimale et maximale,</w:t>
      </w:r>
    </w:p>
    <w:p>
      <w:pPr>
        <w:pPr/>
        <w:numPr>
          <w:ilvl w:val="0"/>
          <w:numId w:val="27"/>
        </w:numPr>
      </w:pPr>
      <w:r>
        <w:rPr/>
        <w:t xml:space="preserve">délai d’attente avant opération suivante.</w:t>
      </w:r>
    </w:p>
    <w:p>
      <w:pPr>
        <w:ind w:left="2160" w:right="0"/>
      </w:pPr>
      <w:r>
        <w:rPr>
          <w:rStyle w:val="font_h3"/>
        </w:rPr>
        <w:t xml:space="preserve">5.1.1.3. Fixation mécanique par chevilles</w:t>
      </w:r>
    </w:p>
    <w:p>
      <w:pPr/>
      <w:r>
        <w:rPr/>
        <w:t xml:space="preserve">Validé par le Groupe Spécialisé le 23/09/2021</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8"/>
        </w:numPr>
      </w:pPr>
      <w:r>
        <w:rPr/>
        <w:t xml:space="preserve">pour les produits de calage : préparation , durée pratique d’utilisation, mode d’application, consommations minimale et maximale; délai d’attente avant opération suivante ;</w:t>
      </w:r>
    </w:p>
    <w:p>
      <w:pPr>
        <w:pPr/>
        <w:numPr>
          <w:ilvl w:val="0"/>
          <w:numId w:val="28"/>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8"/>
        </w:numPr>
      </w:pPr>
      <w:r>
        <w:rPr/>
        <w:t xml:space="preserve">pour l'emploi dans les DROM, le cas échéant : produits visés, mode de fixation des isolants.</w:t>
      </w:r>
    </w:p>
    <w:p>
      <w:pPr>
        <w:ind w:left="1440" w:right="0"/>
      </w:pPr>
      <w:r>
        <w:rPr>
          <w:rStyle w:val="font_h3"/>
        </w:rPr>
        <w:t xml:space="preserve">5.1.2. Mise en oeuvre de l'enduit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9"/>
        </w:numPr>
      </w:pPr>
      <w:r>
        <w:rPr/>
        <w:t xml:space="preserve">préparation,  </w:t>
      </w:r>
    </w:p>
    <w:p>
      <w:pPr>
        <w:pPr/>
        <w:numPr>
          <w:ilvl w:val="0"/>
          <w:numId w:val="29"/>
        </w:numPr>
      </w:pPr>
      <w:r>
        <w:rPr/>
        <w:t xml:space="preserve">description du ou des mode(s) d’application, consommations minimale et maximale de produit, </w:t>
      </w:r>
    </w:p>
    <w:p>
      <w:pPr>
        <w:pPr/>
        <w:numPr>
          <w:ilvl w:val="0"/>
          <w:numId w:val="29"/>
        </w:numPr>
      </w:pPr>
      <w:r>
        <w:rPr/>
        <w:t xml:space="preserve">épaisseur minimale à l'état sec,</w:t>
      </w:r>
    </w:p>
    <w:p>
      <w:pPr>
        <w:pPr/>
        <w:numPr>
          <w:ilvl w:val="0"/>
          <w:numId w:val="29"/>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30"/>
        </w:numPr>
      </w:pPr>
      <w:r>
        <w:rPr/>
        <w:t xml:space="preserve">préparation (le cas échéant),</w:t>
      </w:r>
    </w:p>
    <w:p>
      <w:pPr>
        <w:pPr/>
        <w:numPr>
          <w:ilvl w:val="0"/>
          <w:numId w:val="30"/>
        </w:numPr>
      </w:pPr>
      <w:r>
        <w:rPr/>
        <w:t xml:space="preserve">mode d'application,</w:t>
      </w:r>
    </w:p>
    <w:p>
      <w:pPr>
        <w:pPr/>
        <w:numPr>
          <w:ilvl w:val="0"/>
          <w:numId w:val="30"/>
        </w:numPr>
      </w:pPr>
      <w:r>
        <w:rPr/>
        <w:t xml:space="preserve">consommation minimale,</w:t>
      </w:r>
    </w:p>
    <w:p>
      <w:pPr>
        <w:pPr/>
        <w:numPr>
          <w:ilvl w:val="0"/>
          <w:numId w:val="30"/>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23/09/2021</w:t>
      </w:r>
    </w:p>
    <w:p>
      <w:pPr/>
      <w:r>
        <w:rPr>
          <w:b/>
          <w:bCs/>
        </w:rPr>
        <w:t xml:space="preserve">Description</w:t>
      </w:r>
    </w:p>
    <w:p>
      <w:pPr/>
      <w:r>
        <w:rPr/>
        <w:t xml:space="preserve">Description de la mise en œuvre associée aux revêtements de finition, incluant :</w:t>
      </w:r>
    </w:p>
    <w:p>
      <w:pPr>
        <w:pPr/>
        <w:numPr>
          <w:ilvl w:val="0"/>
          <w:numId w:val="31"/>
        </w:numPr>
      </w:pPr>
      <w:r>
        <w:rPr/>
        <w:t xml:space="preserve">préparation (le cas échéant),</w:t>
      </w:r>
    </w:p>
    <w:p>
      <w:pPr>
        <w:pPr/>
        <w:numPr>
          <w:ilvl w:val="0"/>
          <w:numId w:val="31"/>
        </w:numPr>
      </w:pPr>
      <w:r>
        <w:rPr/>
        <w:t xml:space="preserve">mode d'application,</w:t>
      </w:r>
    </w:p>
    <w:p>
      <w:pPr>
        <w:pPr/>
        <w:numPr>
          <w:ilvl w:val="0"/>
          <w:numId w:val="31"/>
        </w:numPr>
      </w:pPr>
      <w:r>
        <w:rPr/>
        <w:t xml:space="preserve">consommations minimale et maximale,</w:t>
      </w:r>
    </w:p>
    <w:p>
      <w:pPr>
        <w:pPr/>
        <w:numPr>
          <w:ilvl w:val="0"/>
          <w:numId w:val="31"/>
        </w:numPr>
      </w:pPr>
      <w:r>
        <w:rPr/>
        <w:t xml:space="preserve">temps de séchage.</w:t>
      </w:r>
    </w:p>
    <w:p>
      <w:pPr>
        <w:ind w:left="720" w:right="0"/>
      </w:pPr>
      <w:r>
        <w:rPr>
          <w:rStyle w:val="font_h2"/>
        </w:rPr>
        <w:t xml:space="preserve">5.2. Conditions particulières de mise en œuvre dans le cadre de la prise en compte de dispositions vis-à-vis de la propagation du feu en façade</w:t>
      </w:r>
    </w:p>
    <w:p>
      <w:pPr/>
      <w:r>
        <w:rPr/>
        <w:t xml:space="preserve">Validé par le Groupe Spécialisé le 23/09/2021</w:t>
      </w:r>
    </w:p>
    <w:p>
      <w:pPr/>
      <w:r>
        <w:rPr>
          <w:b/>
          <w:bCs/>
        </w:rPr>
        <w:t xml:space="preserve">Description</w:t>
      </w:r>
    </w:p>
    <w:p>
      <w:pPr/>
      <w:r>
        <w:rPr/>
        <w:t xml:space="preserve">Description du (des) traitement(s) spécifique(s) pour la protection contre la propagation d’un incendie en façade.</w:t>
      </w:r>
    </w:p>
    <w:p>
      <w:pPr/>
      <w:r>
        <w:rPr>
          <w:rStyle w:val="font_h1"/>
        </w:rPr>
        <w:t xml:space="preserve">7. Assistance technique</w:t>
      </w:r>
    </w:p>
    <w:p>
      <w:pPr/>
      <w:r>
        <w:rPr/>
        <w:t xml:space="preserve">Validé par le Groupe Spécialisé le 23/09/2021</w:t>
      </w:r>
    </w:p>
    <w:p>
      <w:pPr/>
      <w:r>
        <w:rPr>
          <w:b/>
          <w:bCs/>
        </w:rPr>
        <w:t xml:space="preserve">Description</w:t>
      </w:r>
    </w:p>
    <w:p>
      <w:pPr/>
      <w:r>
        <w:rPr/>
        <w:t xml:space="preserve">Description de l’assistance technique apportée.</w:t>
      </w:r>
    </w:p>
    <w:p>
      <w:pPr/>
      <w:r>
        <w:rPr>
          <w:rStyle w:val="font_h1"/>
        </w:rPr>
        <w:t xml:space="preserve">8. Entretien, rénovation et réparation</w:t>
      </w:r>
    </w:p>
    <w:p>
      <w:pPr/>
      <w:r>
        <w:rPr/>
        <w:t xml:space="preserve">Validé par le Groupe Spécialisé le 23/09/2021</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9. Résultats expérimentaux</w:t>
      </w:r>
    </w:p>
    <w:p>
      <w:pPr/>
      <w:r>
        <w:rPr/>
        <w:t xml:space="preserve">Validé par le Groupe Spécialisé le 23/09/2021</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2"/>
        </w:numPr>
      </w:pPr>
      <w:r>
        <w:rPr/>
        <w:t xml:space="preserve">Rapport associé à l’Évaluation Technique Européenne de l’ETICS, émis par l’Organisme d’Évaluation Technique.</w:t>
      </w:r>
    </w:p>
    <w:p>
      <w:pPr>
        <w:pPr/>
        <w:numPr>
          <w:ilvl w:val="0"/>
          <w:numId w:val="32"/>
        </w:numPr>
      </w:pPr>
      <w:r>
        <w:rPr/>
        <w:t xml:space="preserve">Rapports de classement de réaction au feu de l’ETICS conformément à la norme EN 13501-1, avec dans chaque rapport le domaine d’application détaillé.</w:t>
      </w:r>
    </w:p>
    <w:p>
      <w:pPr/>
      <w:r>
        <w:rPr/>
        <w:t xml:space="preserve">Système ETICS ne disposant pas d'une ETE:</w:t>
      </w:r>
    </w:p>
    <w:p>
      <w:pPr>
        <w:pPr/>
        <w:numPr>
          <w:ilvl w:val="0"/>
          <w:numId w:val="33"/>
        </w:numPr>
      </w:pPr>
      <w:r>
        <w:rPr/>
        <w:t xml:space="preserve">Rapports d’essais d’évaluation des performances de l’ETICS et de ses composants, conformément au Guide d’Agrément Technique Européen n°004 (ETAG 004) ou de l'EAD 040083-00-0404 (European Assessment Document)..</w:t>
      </w:r>
    </w:p>
    <w:p>
      <w:pPr>
        <w:pPr/>
        <w:numPr>
          <w:ilvl w:val="0"/>
          <w:numId w:val="33"/>
        </w:numPr>
      </w:pPr>
      <w:r>
        <w:rPr/>
        <w:t xml:space="preserve">Rapports de classement de réaction au feu de l’ETICS conformément à la norme EN 13501-1, avec dans chaque rapport le domaine d’application détaillé.Et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4"/>
        </w:numPr>
      </w:pPr>
      <w:r>
        <w:rPr/>
        <w:t xml:space="preserve">Dans le cas de fixation mécanique : calculs de résistance à l’action du vent en dépression et comparaison aux sollicitations dues au vent (Règles NV 65 et Eurocode 1).</w:t>
      </w:r>
    </w:p>
    <w:p>
      <w:pPr>
        <w:pPr/>
        <w:numPr>
          <w:ilvl w:val="0"/>
          <w:numId w:val="34"/>
        </w:numPr>
      </w:pPr>
      <w:r>
        <w:rPr/>
        <w:t xml:space="preserve">Justifications du comportement du système en zones sismiques.</w:t>
      </w:r>
    </w:p>
    <w:p>
      <w:pPr>
        <w:pPr/>
        <w:numPr>
          <w:ilvl w:val="0"/>
          <w:numId w:val="34"/>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4"/>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5"/>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5"/>
        </w:numPr>
      </w:pPr>
      <w:r>
        <w:rPr/>
        <w:t xml:space="preserve">Justifications démontrant l’absence de désordres dus à un potentiel risque de condensation dans le système (étude WUFI par exemple).</w:t>
      </w:r>
    </w:p>
    <w:p>
      <w:pPr>
        <w:pPr/>
        <w:numPr>
          <w:ilvl w:val="0"/>
          <w:numId w:val="35"/>
        </w:numPr>
      </w:pPr>
      <w:r>
        <w:rPr/>
        <w:t xml:space="preserve">Justifications du comportement du système en zones sismiques (cas de la zone 5).</w:t>
      </w:r>
    </w:p>
    <w:p>
      <w:pPr>
        <w:pPr/>
        <w:numPr>
          <w:ilvl w:val="0"/>
          <w:numId w:val="35"/>
        </w:numPr>
      </w:pPr>
      <w:r>
        <w:rPr/>
        <w:t xml:space="preserve">Description des dispositions spécifiques éventuelles relatives au stockage et à la mise en oeuvre.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23/09/2021</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6"/>
        </w:numPr>
      </w:pPr>
      <w:r>
        <w:rPr/>
        <w:t xml:space="preserve">la date des premières applications du système,</w:t>
      </w:r>
    </w:p>
    <w:p>
      <w:pPr>
        <w:pPr/>
        <w:numPr>
          <w:ilvl w:val="0"/>
          <w:numId w:val="36"/>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7"/>
        </w:numPr>
      </w:pPr>
      <w:r>
        <w:rPr/>
        <w:t xml:space="preserve">La localisation exacte en vue de son examen.</w:t>
      </w:r>
    </w:p>
    <w:p>
      <w:pPr>
        <w:pPr/>
        <w:numPr>
          <w:ilvl w:val="0"/>
          <w:numId w:val="37"/>
        </w:numPr>
      </w:pPr>
      <w:r>
        <w:rPr/>
        <w:t xml:space="preserve">Le type de bâtiment (maison individuelle, immeuble collectif, ERP, etc.).</w:t>
      </w:r>
    </w:p>
    <w:p>
      <w:pPr>
        <w:pPr/>
        <w:numPr>
          <w:ilvl w:val="0"/>
          <w:numId w:val="37"/>
        </w:numPr>
      </w:pPr>
      <w:r>
        <w:rPr/>
        <w:t xml:space="preserve">La nature des travaux (travaux neufs ou rénovation).</w:t>
      </w:r>
    </w:p>
    <w:p>
      <w:pPr>
        <w:pPr/>
        <w:numPr>
          <w:ilvl w:val="0"/>
          <w:numId w:val="37"/>
        </w:numPr>
      </w:pPr>
      <w:r>
        <w:rPr/>
        <w:t xml:space="preserve">La période de mise en œuvre.</w:t>
      </w:r>
    </w:p>
    <w:p>
      <w:pPr>
        <w:pPr/>
        <w:numPr>
          <w:ilvl w:val="0"/>
          <w:numId w:val="37"/>
        </w:numPr>
      </w:pPr>
      <w:r>
        <w:rPr/>
        <w:t xml:space="preserve">La surface traitée, en m</w:t>
      </w:r>
      <w:r>
        <w:rPr>
          <w:vertAlign w:val="superscript"/>
        </w:rPr>
        <w:t xml:space="preserve">2</w:t>
      </w:r>
      <w:r>
        <w:rPr/>
        <w:t xml:space="preserve"> de façade.</w:t>
      </w:r>
    </w:p>
    <w:p>
      <w:pPr>
        <w:pPr/>
        <w:numPr>
          <w:ilvl w:val="0"/>
          <w:numId w:val="37"/>
        </w:numPr>
      </w:pPr>
      <w:r>
        <w:rPr/>
        <w:t xml:space="preserve">L’épaisseur des panneaux isolants et le mode de pose des panneaux.</w:t>
      </w:r>
    </w:p>
    <w:p>
      <w:pPr>
        <w:pPr/>
        <w:numPr>
          <w:ilvl w:val="0"/>
          <w:numId w:val="37"/>
        </w:numPr>
      </w:pPr>
      <w:r>
        <w:rPr/>
        <w:t xml:space="preserve">Le produit de calage employé et le nom des fixations utilisées en cas de pose par fixation mécanique.</w:t>
      </w:r>
    </w:p>
    <w:p>
      <w:pPr>
        <w:pPr/>
        <w:numPr>
          <w:ilvl w:val="0"/>
          <w:numId w:val="37"/>
        </w:numPr>
      </w:pPr>
      <w:r>
        <w:rPr/>
        <w:t xml:space="preserve">Le revêtement de finition appliqué.</w:t>
      </w:r>
    </w:p>
    <w:p>
      <w:pPr>
        <w:pPr/>
        <w:numPr>
          <w:ilvl w:val="0"/>
          <w:numId w:val="37"/>
        </w:numPr>
      </w:pPr>
      <w:r>
        <w:rPr/>
        <w:t xml:space="preserve">L’identité et les coordonnées des acteurs (maître d’ouvrage, maître d’œuvre, entreprise de pose, bureau de contrôle, bureau d’étude, etc.).</w:t>
      </w:r>
    </w:p>
    <w:p>
      <w:pPr>
        <w:pPr/>
        <w:numPr>
          <w:ilvl w:val="0"/>
          <w:numId w:val="37"/>
        </w:numPr>
      </w:pPr>
      <w:r>
        <w:rPr/>
        <w:t xml:space="preserve">Dans le cas des DROM, justifier d'un retour chantier.</w:t>
      </w:r>
    </w:p>
    <w:p>
      <w:pPr>
        <w:ind w:left="720" w:right="0"/>
      </w:pPr>
      <w:r>
        <w:rPr>
          <w:rStyle w:val="font_h2"/>
        </w:rPr>
        <w:t xml:space="preserve">9.3. Révision d'ATec</w:t>
      </w:r>
    </w:p>
    <w:p>
      <w:pPr/>
      <w:r>
        <w:rPr/>
        <w:t xml:space="preserve">Validé par le Groupe Spécialisé le 23/09/2021</w:t>
      </w:r>
    </w:p>
    <w:p>
      <w:pPr/>
      <w:r>
        <w:rPr>
          <w:b/>
          <w:bCs/>
        </w:rPr>
        <w:t xml:space="preserve">Description</w:t>
      </w:r>
    </w:p>
    <w:p>
      <w:pPr/>
      <w:r>
        <w:rPr/>
        <w:t xml:space="preserve">Dans le cas d'une révision d'Avis Technique/ de DTA, 10 références de chantiers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34A9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218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B0E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25D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F8B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33B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16E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3D5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90A0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772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2C1E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B99F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142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02E0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DCC3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777C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6D16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93B5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B24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657E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4B81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0727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69F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9323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664D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F9DF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FB09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DC5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13ED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2026-02-17T08:04:09+01:00</dcterms:created>
  <dcterms:modified xsi:type="dcterms:W3CDTF">2026-02-17T08:04:09+01:00</dcterms:modified>
</cp:coreProperties>
</file>

<file path=docProps/custom.xml><?xml version="1.0" encoding="utf-8"?>
<Properties xmlns="http://schemas.openxmlformats.org/officeDocument/2006/custom-properties" xmlns:vt="http://schemas.openxmlformats.org/officeDocument/2006/docPropsVTypes"/>
</file>