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Façade translucide organique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Préciser pour le procédé objet de la demande:</w:t>
      </w:r>
    </w:p>
    <w:p>
      <w:pPr/>
      <w:r>
        <w:rPr/>
        <w:t xml:space="preserve">-Nature des travaux (neuf, rénovation...)</w:t>
      </w:r>
    </w:p>
    <w:p>
      <w:pPr/>
      <w:r>
        <w:rPr/>
        <w:t xml:space="preserve">-Type de bâtiments visés (Etablissements recevant du public, habitation, ...)</w:t>
      </w:r>
    </w:p>
    <w:p>
      <w:pPr/>
      <w:r>
        <w:rPr/>
        <w:t xml:space="preserve">Préciser les lieux géographiques où est envisagée la pose du procédé: bord de mer, zones sismiques...</w:t>
      </w:r>
    </w:p>
    <w:p>
      <w:pPr/>
      <w:r>
        <w:rPr>
          <w:rStyle w:val="font_h1"/>
        </w:rPr>
        <w:t xml:space="preserve">2. Description du procédé</w:t>
      </w:r>
    </w:p>
    <w:p>
      <w:pPr>
        <w:ind w:left="720" w:right="0"/>
      </w:pPr>
      <w:r>
        <w:rPr>
          <w:rStyle w:val="font_h2"/>
        </w:rPr>
        <w:t xml:space="preserve">2.1. Caractéristiques d'identification du procédé</w:t>
      </w:r>
    </w:p>
    <w:p>
      <w:pPr/>
      <w:r>
        <w:rPr/>
        <w:t xml:space="preserve">Validé par le Groupe Spécialisé le 06/03/2018</w:t>
      </w:r>
    </w:p>
    <w:p>
      <w:pPr/>
      <w:r>
        <w:rPr>
          <w:b/>
          <w:bCs/>
        </w:rPr>
        <w:t xml:space="preserve">Description</w:t>
      </w:r>
    </w:p>
    <w:p>
      <w:pPr/>
      <w:r>
        <w:rPr/>
        <w:t xml:space="preserve">Préciser le type de systèmes: emboitables ou avec connecteurs.</w:t>
      </w:r>
    </w:p>
    <w:p>
      <w:pPr/>
      <w:r>
        <w:rPr/>
        <w:t xml:space="preserve">Préciser le type de pose: normale, inversée, inclinée +/-15°...</w:t>
      </w:r>
    </w:p>
    <w:p>
      <w:pPr/>
      <w:r>
        <w:rPr/>
        <w:t xml:space="preserve">Identifier et définir les matériaux des différents constituants du procédé: plaques de polycarbonate multiparois, connecteurs, profil à rupture de pont thermique, accessoires (joints à bourrer, adhésifs,...).</w:t>
      </w:r>
    </w:p>
    <w:p>
      <w:pPr/>
      <w:r>
        <w:rPr>
          <w:b/>
          <w:bCs/>
        </w:rPr>
        <w:t xml:space="preserve">Illustration</w:t>
      </w:r>
    </w:p>
    <w:p>
      <w:pPr/>
      <w:r>
        <w:rPr/>
        <w:t xml:space="preserve">Liste des figures à fournir au minimum:</w:t>
      </w:r>
    </w:p>
    <w:p>
      <w:pPr/>
      <w:r>
        <w:rPr/>
        <w:t xml:space="preserve">-Panneaux visés</w:t>
      </w:r>
    </w:p>
    <w:p>
      <w:pPr/>
      <w:r>
        <w:rPr/>
        <w:t xml:space="preserve">-Coupe verticale avec jonction au gros œuvre pour chaque type de pose</w:t>
      </w:r>
    </w:p>
    <w:p>
      <w:pPr/>
      <w:r>
        <w:rPr/>
        <w:t xml:space="preserve">-Coupe horizontale avec jonction au gros œuvre pour chaque type de pose</w:t>
      </w:r>
    </w:p>
    <w:p>
      <w:pPr/>
      <w:r>
        <w:rPr/>
        <w:t xml:space="preserve">-Patte d'ancrage pour les systèmes à emboitement</w:t>
      </w:r>
    </w:p>
    <w:p>
      <w:pPr/>
      <w:r>
        <w:rPr/>
        <w:t xml:space="preserve">-Points singuliers (angles)</w:t>
      </w:r>
    </w:p>
    <w:p>
      <w:pPr>
        <w:ind w:left="720" w:right="0"/>
      </w:pPr>
      <w:r>
        <w:rPr>
          <w:rStyle w:val="font_h2"/>
        </w:rPr>
        <w:t xml:space="preserve">2.2. Caractéristiques d'aptitude à l'emploi</w:t>
      </w:r>
    </w:p>
    <w:p>
      <w:pPr>
        <w:ind w:left="1440" w:right="0"/>
      </w:pPr>
      <w:r>
        <w:rPr>
          <w:rStyle w:val="font_h3"/>
        </w:rPr>
        <w:t xml:space="preserve">2.2.1. Performances AEV</w:t>
      </w:r>
    </w:p>
    <w:p>
      <w:pPr/>
      <w:r>
        <w:rPr/>
        <w:t xml:space="preserve">Validé par le Groupe Spécialisé le 06/03/2018</w:t>
      </w:r>
    </w:p>
    <w:p>
      <w:pPr/>
      <w:r>
        <w:rPr>
          <w:b/>
          <w:bCs/>
        </w:rPr>
        <w:t xml:space="preserve">Description</w:t>
      </w:r>
    </w:p>
    <w:p>
      <w:pPr/>
      <w:r>
        <w:rPr/>
        <w:t xml:space="preserve">Fournir le rapport d'essais AEV</w:t>
      </w:r>
    </w:p>
    <w:p>
      <w:pPr>
        <w:ind w:left="1440" w:right="0"/>
      </w:pPr>
      <w:r>
        <w:rPr>
          <w:rStyle w:val="font_h3"/>
        </w:rPr>
        <w:t xml:space="preserve">2.2.2. Résistance mécanique</w:t>
      </w:r>
    </w:p>
    <w:p>
      <w:pPr/>
      <w:r>
        <w:rPr/>
        <w:t xml:space="preserve">Validé par le Groupe Spécialisé le 06/03/2018</w:t>
      </w:r>
    </w:p>
    <w:p>
      <w:pPr/>
      <w:r>
        <w:rPr>
          <w:b/>
          <w:bCs/>
        </w:rPr>
        <w:t xml:space="preserve">Description</w:t>
      </w:r>
    </w:p>
    <w:p>
      <w:pPr/>
      <w:r>
        <w:rPr/>
        <w:t xml:space="preserve">Fournir les rapports d'essais de résistance aux charges dues au vent selon le cahier du CSTB 3489 et de conservation des performances aux chics extérieurs selon le cahier du CSTB 3534.</w:t>
      </w:r>
    </w:p>
    <w:p>
      <w:pPr>
        <w:ind w:left="1440" w:right="0"/>
      </w:pPr>
      <w:r>
        <w:rPr>
          <w:rStyle w:val="font_h3"/>
        </w:rPr>
        <w:t xml:space="preserve">2.2.3. Thermique</w:t>
      </w:r>
    </w:p>
    <w:p>
      <w:pPr/>
      <w:r>
        <w:rPr/>
        <w:t xml:space="preserve">Validé par le Groupe Spécialisé le 06/03/2018</w:t>
      </w:r>
    </w:p>
    <w:p>
      <w:pPr/>
      <w:r>
        <w:rPr>
          <w:b/>
          <w:bCs/>
        </w:rPr>
        <w:t xml:space="preserve">Description</w:t>
      </w:r>
    </w:p>
    <w:p>
      <w:pPr/>
      <w:r>
        <w:rPr/>
        <w:t xml:space="preserve">Fournir l'étude thermique suivant la règlementation en vigueur.</w:t>
      </w:r>
    </w:p>
    <w:p>
      <w:pPr/>
      <w:r>
        <w:rPr>
          <w:b/>
          <w:bCs/>
        </w:rPr>
        <w:t xml:space="preserve">Justification</w:t>
      </w:r>
    </w:p>
    <w:p>
      <w:pPr/>
      <w:r>
        <w:rPr/>
        <w:t xml:space="preserve">Une validation par le CSTB sera demandée lors de l'évaluation.</w:t>
      </w:r>
    </w:p>
    <w:p>
      <w:pPr>
        <w:ind w:left="1440" w:right="0"/>
      </w:pPr>
      <w:r>
        <w:rPr>
          <w:rStyle w:val="font_h3"/>
        </w:rPr>
        <w:t xml:space="preserve">2.2.4. Sécurité incendie</w:t>
      </w:r>
    </w:p>
    <w:p>
      <w:pPr/>
      <w:r>
        <w:rPr/>
        <w:t xml:space="preserve">Validé par le Groupe Spécialisé le 06/03/2018</w:t>
      </w:r>
    </w:p>
    <w:p>
      <w:pPr/>
      <w:r>
        <w:rPr>
          <w:b/>
          <w:bCs/>
        </w:rPr>
        <w:t xml:space="preserve">Description</w:t>
      </w:r>
    </w:p>
    <w:p>
      <w:pPr/>
      <w:r>
        <w:rPr/>
        <w:t xml:space="preserve">Réaction au feu des panneaux.</w:t>
      </w:r>
    </w:p>
    <w:p>
      <w:pPr/>
      <w:r>
        <w:rPr>
          <w:b/>
          <w:bCs/>
        </w:rPr>
        <w:t xml:space="preserve">Justification</w:t>
      </w:r>
    </w:p>
    <w:p>
      <w:pPr/>
      <w:r>
        <w:rPr/>
        <w:t xml:space="preserve">Fournir les PV de réaction au feu des plaques, validés par un organisme agréé français.</w:t>
      </w:r>
    </w:p>
    <w:p>
      <w:pPr>
        <w:ind w:left="1440" w:right="0"/>
      </w:pPr>
      <w:r>
        <w:rPr>
          <w:rStyle w:val="font_h3"/>
        </w:rPr>
        <w:t xml:space="preserve">2.2.5. Durabilité</w:t>
      </w:r>
    </w:p>
    <w:p>
      <w:pPr/>
      <w:r>
        <w:rPr/>
        <w:t xml:space="preserve">Validé par le Groupe Spécialisé le 06/03/2018</w:t>
      </w:r>
    </w:p>
    <w:p>
      <w:pPr/>
      <w:r>
        <w:rPr>
          <w:b/>
          <w:bCs/>
        </w:rPr>
        <w:t xml:space="preserve">Description</w:t>
      </w:r>
    </w:p>
    <w:p>
      <w:pPr/>
      <w:r>
        <w:rPr/>
        <w:t xml:space="preserve">Essais de durabilité: essais de vieillissement sur les plaques.</w:t>
      </w:r>
    </w:p>
    <w:p>
      <w:pPr/>
      <w:r>
        <w:rPr>
          <w:rStyle w:val="font_h1"/>
        </w:rPr>
        <w:t xml:space="preserve">3. Fabrication</w:t>
      </w:r>
    </w:p>
    <w:p>
      <w:pPr>
        <w:ind w:left="720" w:right="0"/>
      </w:pPr>
      <w:r>
        <w:rPr>
          <w:rStyle w:val="font_h2"/>
        </w:rPr>
        <w:t xml:space="preserve">3.1. Visite d'usine</w:t>
      </w:r>
    </w:p>
    <w:p>
      <w:pPr/>
      <w:r>
        <w:rPr/>
        <w:t xml:space="preserve">Validé par le Groupe Spécialisé le 06/03/2018</w:t>
      </w:r>
    </w:p>
    <w:p>
      <w:pPr/>
      <w:r>
        <w:rPr>
          <w:b/>
          <w:bCs/>
        </w:rPr>
        <w:t xml:space="preserve">Description</w:t>
      </w:r>
    </w:p>
    <w:p>
      <w:pPr/>
      <w:r>
        <w:rPr/>
        <w:t xml:space="preserve">Une visite d'usine sera organisée:</w:t>
      </w:r>
    </w:p>
    <w:p>
      <w:pPr/>
      <w:r>
        <w:rPr/>
        <w:t xml:space="preserve">-Description succincte de la fabrication des plaques de façade translucide et des contrôles effectués lors de cette fabrication et sur les produits finis</w:t>
      </w:r>
    </w:p>
    <w:p>
      <w:pPr/>
      <w:r>
        <w:rPr/>
        <w:t xml:space="preserve">-Description des formats envisagés avec tolérances de fabrication</w:t>
      </w:r>
    </w:p>
    <w:p>
      <w:pPr/>
      <w:r>
        <w:rPr/>
        <w:t xml:space="preserve">-Description des connecteurs envisagés.</w:t>
      </w:r>
    </w:p>
    <w:p>
      <w:pPr/>
      <w:r>
        <w:rPr/>
        <w:t xml:space="preserve">Le titulaire apportera la preuve de la constance de qualité de fabrication des produits finis d'usine sur la base d'un suivi par tierce partie.</w:t>
      </w:r>
    </w:p>
    <w:p>
      <w:pPr>
        <w:ind w:left="720" w:right="0"/>
      </w:pPr>
      <w:r>
        <w:rPr>
          <w:rStyle w:val="font_h2"/>
        </w:rPr>
        <w:t xml:space="preserve">3.2. Certification QB51</w:t>
      </w:r>
    </w:p>
    <w:p>
      <w:pPr/>
      <w:r>
        <w:rPr/>
        <w:t xml:space="preserve">Validé par le Groupe Spécialisé le 18/04/2023</w:t>
      </w:r>
    </w:p>
    <w:p>
      <w:pPr/>
      <w:r>
        <w:rPr>
          <w:b/>
          <w:bCs/>
        </w:rPr>
        <w:t xml:space="preserve">Description</w:t>
      </w:r>
    </w:p>
    <w:p>
      <w:pPr/>
      <w:r>
        <w:rPr/>
        <w:t xml:space="preserve">La certification QB51 des Systèmes de Matières Polycarbonate a fait l’objet d’une présentation en GS (annexée au compte rendu du 18/04/2023). Le contenu du marquage ainsi que les propositions de rédaction pour la prise en compte de cette QB dans les DTA de façade translucide organique ont été entérinés. </w:t>
      </w:r>
    </w:p>
    <w:p/>
    <w:p>
      <w:pPr/>
      <w:r>
        <w:rPr/>
        <w:t xml:space="preserve">Cette certification QB51 des Systèmes de Matières Polycarbonate est une démarche volontaire ; elle inclut entre autres, les caractéristiques liées à la durabilité des systèmes de matières polycarbonate. Dans le cadre des Avis Techniques et en l’absence de la certification QB51, des justificatifs de durabilité des plaques devront être fournis, avec la réalisation des essais de vieillissement simulés pendant 3200h selon la classe de durabilité.</w:t>
      </w:r>
    </w:p>
    <w:p>
      <w:pPr/>
      <w:r>
        <w:rPr>
          <w:rStyle w:val="font_h1"/>
        </w:rPr>
        <w:t xml:space="preserve">4. Dispositions de conception</w:t>
      </w:r>
    </w:p>
    <w:p>
      <w:pPr>
        <w:ind w:left="720" w:right="0"/>
      </w:pPr>
      <w:r>
        <w:rPr>
          <w:rStyle w:val="font_h2"/>
        </w:rPr>
        <w:t xml:space="preserve">4.1. Tableaux de charges</w:t>
      </w:r>
    </w:p>
    <w:p>
      <w:pPr/>
      <w:r>
        <w:rPr/>
        <w:t xml:space="preserve">Validé par le Groupe Spécialisé le 06/03/2018</w:t>
      </w:r>
    </w:p>
    <w:p>
      <w:pPr/>
      <w:r>
        <w:rPr>
          <w:b/>
          <w:bCs/>
        </w:rPr>
        <w:t xml:space="preserve">Description</w:t>
      </w:r>
    </w:p>
    <w:p>
      <w:pPr/>
      <w:r>
        <w:rPr/>
        <w:t xml:space="preserve">Fournir les tableaux de charges/portées des panneaux.</w:t>
      </w:r>
    </w:p>
    <w:p>
      <w:pPr>
        <w:ind w:left="720" w:right="0"/>
      </w:pPr>
      <w:r>
        <w:rPr>
          <w:rStyle w:val="font_h2"/>
        </w:rPr>
        <w:t xml:space="preserve">4.2. Dimensionnement</w:t>
      </w:r>
    </w:p>
    <w:p>
      <w:pPr/>
      <w:r>
        <w:rPr/>
        <w:t xml:space="preserve">Validé par le Groupe Spécialisé le 18/04/2023</w:t>
      </w:r>
    </w:p>
    <w:p>
      <w:pPr/>
      <w:r>
        <w:rPr>
          <w:b/>
          <w:bCs/>
        </w:rPr>
        <w:t xml:space="preserve">Description</w:t>
      </w:r>
    </w:p>
    <w:p>
      <w:pPr/>
      <w:r>
        <w:rPr/>
        <w:t xml:space="preserve">La présente note a pour objet de définir les critères de dimensionnement suivant le principe des états limites avec charges de vent déterminées selon l’Eurocode. Cette note s’applique à l’ensemble des DTA de la famille « façade translucide organique » examinés en GS2.1, elle prendra effet à partir du 01 janvier 2024.</w:t>
      </w:r>
    </w:p>
    <w:p>
      <w:pPr/>
      <w:r>
        <w:rPr/>
        <w:t xml:space="preserve">1- Prise en compte du niveau de performances requis en fonction de domaine d’emploi et selon les typologies de bâtiments visés.➢ Typologie A : Locaux pour lesquels les performances de perméabilité à l’air sont renforcées avec :</w:t>
      </w:r>
    </w:p>
    <w:p>
      <w:pPr>
        <w:pPr/>
        <w:numPr>
          <w:ilvl w:val="0"/>
          <w:numId w:val="9"/>
        </w:numPr>
      </w:pPr>
      <w:r>
        <w:rPr/>
        <w:t xml:space="preserve">Exigence Air &amp; Eau avec Wels / 4</w:t>
      </w:r>
    </w:p>
    <w:p>
      <w:pPr>
        <w:pPr/>
        <w:numPr>
          <w:ilvl w:val="0"/>
          <w:numId w:val="9"/>
        </w:numPr>
      </w:pPr>
      <w:r>
        <w:rPr/>
        <w:t xml:space="preserve">Critère de perméabilité : 1,5 m3/h.m²</w:t>
      </w:r>
    </w:p>
    <w:p>
      <w:pPr>
        <w:pPr/>
        <w:numPr>
          <w:ilvl w:val="0"/>
          <w:numId w:val="9"/>
        </w:numPr>
      </w:pPr>
      <w:r>
        <w:rPr/>
        <w:t xml:space="preserve">Qf/Lf &lt; 0.5 m3/h.m➢ Typologie B (domaine d’emploi habituellement visé dans les DTA de cette famille) : Locaux pour lesquels les performances de perméabilité à l’air sont courantes avec :</w:t>
      </w:r>
    </w:p>
    <w:p>
      <w:pPr>
        <w:pPr/>
        <w:numPr>
          <w:ilvl w:val="0"/>
          <w:numId w:val="9"/>
        </w:numPr>
      </w:pPr>
      <w:r>
        <w:rPr/>
        <w:t xml:space="preserve">Exigence Air &amp; Eau avec Wels / 6</w:t>
      </w:r>
    </w:p>
    <w:p>
      <w:pPr>
        <w:pPr/>
        <w:numPr>
          <w:ilvl w:val="0"/>
          <w:numId w:val="9"/>
        </w:numPr>
      </w:pPr>
      <w:r>
        <w:rPr/>
        <w:t xml:space="preserve">Critère de perméabilité : 2 m3/h.m²</w:t>
      </w:r>
    </w:p>
    <w:p>
      <w:pPr>
        <w:pPr/>
        <w:numPr>
          <w:ilvl w:val="0"/>
          <w:numId w:val="9"/>
        </w:numPr>
      </w:pPr>
      <w:r>
        <w:rPr/>
        <w:t xml:space="preserve">Qf/Lf &lt; 1 m3/h.m</w:t>
      </w:r>
    </w:p>
    <w:p>
      <w:pPr/>
      <w:r>
        <w:rPr/>
        <w:t xml:space="preserve">Présentation du tableau de domaine d’emploi en fonction des critères perméabilité à l’air et de d’étanchéité à l’eau : (voir image 1)</w:t>
      </w:r>
    </w:p>
    <w:p>
      <w:pPr/>
      <w:r>
        <w:rPr/>
        <w:t xml:space="preserve">2- Passage NV65- EurocodeRappel : La charge admissible retenue sous vent normal (selon les NV 65 modifiées) est la plus petite des valeurs suivantes :</w:t>
      </w:r>
    </w:p>
    <w:p>
      <w:pPr>
        <w:pPr/>
        <w:numPr>
          <w:ilvl w:val="0"/>
          <w:numId w:val="10"/>
        </w:numPr>
      </w:pPr>
      <w:r>
        <w:rPr/>
        <w:t xml:space="preserve">Charge générant une flèche de 50mm,</w:t>
      </w:r>
    </w:p>
    <w:p>
      <w:pPr>
        <w:pPr/>
        <w:numPr>
          <w:ilvl w:val="0"/>
          <w:numId w:val="10"/>
        </w:numPr>
      </w:pPr>
      <w:r>
        <w:rPr/>
        <w:t xml:space="preserve">Charge générant une flèche au 1/100ème ou 1/50ème de la portée,</w:t>
      </w:r>
    </w:p>
    <w:p>
      <w:pPr>
        <w:pPr/>
        <w:numPr>
          <w:ilvl w:val="0"/>
          <w:numId w:val="10"/>
        </w:numPr>
      </w:pPr>
      <w:r>
        <w:rPr/>
        <w:t xml:space="preserve">Charge de ruine/3 en dépression.Critères « Eurocode » :La charge retenue sous vent Eurocode est la plus petite des valeurs suivantes :</w:t>
      </w:r>
    </w:p>
    <w:p>
      <w:pPr>
        <w:pPr/>
        <w:numPr>
          <w:ilvl w:val="0"/>
          <w:numId w:val="10"/>
        </w:numPr>
      </w:pPr>
      <w:r>
        <w:rPr/>
        <w:t xml:space="preserve">Charge générant une flèche de 60 mm,</w:t>
      </w:r>
    </w:p>
    <w:p>
      <w:pPr>
        <w:pPr/>
        <w:numPr>
          <w:ilvl w:val="0"/>
          <w:numId w:val="10"/>
        </w:numPr>
      </w:pPr>
      <w:r>
        <w:rPr/>
        <w:t xml:space="preserve">Charge générant une flèche au 1/83 ème ou 1/42ème de la portée,</w:t>
      </w:r>
    </w:p>
    <w:p>
      <w:pPr>
        <w:pPr/>
        <w:numPr>
          <w:ilvl w:val="0"/>
          <w:numId w:val="10"/>
        </w:numPr>
      </w:pPr>
      <w:r>
        <w:rPr/>
        <w:t xml:space="preserve">Charge de ruine/2,5 en dépression.En complément des critères ci-dessus, il convient de prendre :</w:t>
      </w:r>
    </w:p>
    <w:p>
      <w:pPr>
        <w:pPr/>
        <w:numPr>
          <w:ilvl w:val="0"/>
          <w:numId w:val="10"/>
        </w:numPr>
      </w:pPr>
      <w:r>
        <w:rPr/>
        <w:t xml:space="preserve">En partie courante : pression et dépression : Cpe-Cpi = 1,1</w:t>
      </w:r>
    </w:p>
    <w:p>
      <w:pPr>
        <w:pPr/>
        <w:numPr>
          <w:ilvl w:val="0"/>
          <w:numId w:val="10"/>
        </w:numPr>
      </w:pPr>
      <w:r>
        <w:rPr/>
        <w:t xml:space="preserve">En partie de rive (zone A) :• Pression : Cpe-Cpi = 1,1• Dépression : Cpe-Cpi = - 1,5L’utilisateur peut utiliser des valeurs de cpe et cpi plus précises définies par zones selon le § 7.2 de la NF EN1991-1-4 et son annexe nationale.</w:t>
      </w:r>
    </w:p>
    <w:p>
      <w:pPr/>
      <w:r>
        <w:rPr/>
        <w:t xml:space="preserve">Le référentiel des charges climatiques à prendre en compte dépend du domaine d’emploi visé dans le DTA :</w:t>
      </w:r>
    </w:p>
    <w:p>
      <w:pPr>
        <w:pPr/>
        <w:numPr>
          <w:ilvl w:val="0"/>
          <w:numId w:val="11"/>
        </w:numPr>
      </w:pPr>
      <w:r>
        <w:rPr/>
        <w:t xml:space="preserve">Pour la typologie A : seul le référentiel Eurocode est à prendre en compte dans le DTA</w:t>
      </w:r>
    </w:p>
    <w:p>
      <w:pPr>
        <w:pPr/>
        <w:numPr>
          <w:ilvl w:val="0"/>
          <w:numId w:val="11"/>
        </w:numPr>
      </w:pPr>
      <w:r>
        <w:rPr/>
        <w:t xml:space="preserve">Pour la typologie B : le référentiel des actions climatiques peut être :• Soit les Règles NV 65 modifiées ;• Soit l’Eurocode (NF EN 1991-1-4 avec son annexe nationale et leurs amendements)</w:t>
      </w:r>
    </w:p>
    <w:p>
      <w:pPr>
        <w:ind w:left="720" w:right="0"/>
      </w:pPr>
      <w:r>
        <w:rPr>
          <w:rStyle w:val="font_h2"/>
        </w:rPr>
        <w:t xml:space="preserve">4.3. Maintien des panneaux</w:t>
      </w:r>
    </w:p>
    <w:p>
      <w:pPr/>
      <w:r>
        <w:rPr/>
        <w:t xml:space="preserve">Validé par le Groupe Spécialisé le 21/01/2025</w:t>
      </w:r>
    </w:p>
    <w:p>
      <w:pPr/>
      <w:r>
        <w:rPr>
          <w:b/>
          <w:bCs/>
        </w:rPr>
        <w:t xml:space="preserve">Description</w:t>
      </w:r>
    </w:p>
    <w:p>
      <w:pPr/>
      <w:r>
        <w:rPr/>
        <w:t xml:space="preserve">Le maintien des parcloses des panneaux polycarbonates en partie haute, n’étant pas assuré par les joints EDPM à bourrer dont la durabilité n’est pas avérée (vieillissement, risque de déclippage, etc.), celles-ci devront être sécurisées par des fixations mécaniques afin d’assurer leur maintien et éviter des chutes eventuelles.</w:t>
      </w:r>
    </w:p>
    <w:p>
      <w:pPr/>
      <w:r>
        <w:rPr>
          <w:rStyle w:val="font_h1"/>
        </w:rPr>
        <w:t xml:space="preserve">5. Entretien et maintenance</w:t>
      </w:r>
    </w:p>
    <w:p>
      <w:pPr/>
      <w:r>
        <w:rPr/>
        <w:t xml:space="preserve">Validé par le Groupe Spécialisé le 06/03/2018</w:t>
      </w:r>
    </w:p>
    <w:p>
      <w:pPr/>
      <w:r>
        <w:rPr>
          <w:b/>
          <w:bCs/>
        </w:rPr>
        <w:t xml:space="preserve">Description</w:t>
      </w:r>
    </w:p>
    <w:p>
      <w:pPr/>
      <w:r>
        <w:rPr/>
        <w:t xml:space="preserve">Fournir la notice d'entretien et de maintenance des plaques.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DBF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C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6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2025-12-15T03:56:28+01:00</dcterms:created>
  <dcterms:modified xsi:type="dcterms:W3CDTF">2025-12-15T03:56:28+01:00</dcterms:modified>
</cp:coreProperties>
</file>

<file path=docProps/custom.xml><?xml version="1.0" encoding="utf-8"?>
<Properties xmlns="http://schemas.openxmlformats.org/officeDocument/2006/custom-properties" xmlns:vt="http://schemas.openxmlformats.org/officeDocument/2006/docPropsVTypes"/>
</file>