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26/05/2026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Complément d’isolation thermique sous couverture par barrière radiante</w:t>
      </w:r>
    </w:p>
    <w:p>
      <w:pPr/>
      <w:r>
        <w:rPr>
          <w:rStyle w:val="font_h1"/>
        </w:rPr>
        <w:t xml:space="preserve">1. Principe</w:t>
      </w:r>
    </w:p>
    <w:p>
      <w:pPr/>
      <w:r>
        <w:rPr/>
        <w:t xml:space="preserve">Validé par le Groupe Spécialisé le 14/12/2021</w:t>
      </w:r>
    </w:p>
    <w:p>
      <w:pPr/>
      <w:r>
        <w:rPr>
          <w:b/>
          <w:bCs/>
        </w:rPr>
        <w:t xml:space="preserve">Description</w:t>
      </w:r>
    </w:p>
    <w:p>
      <w:pPr/>
      <w:r>
        <w:rPr/>
        <w:t xml:space="preserve">Les Directives Générales relatives à la procédure d’Avis Technique, précisent, à l’article 2, la composition dudossier de demande d’Avis Technique qui outre la demande proprement dite, comporte :</w:t>
      </w:r>
    </w:p>
    <w:p>
      <w:pPr>
        <w:pPr/>
        <w:numPr>
          <w:ilvl w:val="0"/>
          <w:numId w:val="9"/>
        </w:numPr>
      </w:pPr>
      <w:r>
        <w:rPr/>
        <w:t xml:space="preserve">La description du procédé</w:t>
      </w:r>
    </w:p>
    <w:p>
      <w:pPr>
        <w:pPr/>
        <w:numPr>
          <w:ilvl w:val="0"/>
          <w:numId w:val="9"/>
        </w:numPr>
      </w:pPr>
      <w:r>
        <w:rPr/>
        <w:t xml:space="preserve">mode d'application</w:t>
      </w:r>
    </w:p>
    <w:p>
      <w:pPr>
        <w:pPr/>
        <w:numPr>
          <w:ilvl w:val="0"/>
          <w:numId w:val="9"/>
        </w:numPr>
      </w:pPr>
      <w:r>
        <w:rPr/>
        <w:t xml:space="preserve">Désignation commerciale du procédé.....</w:t>
      </w:r>
    </w:p>
    <w:p>
      <w:pPr/>
      <w:r>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rStyle w:val="font_h1"/>
        </w:rPr>
        <w:t xml:space="preserve">2. Eléments et matériaux</w:t>
      </w:r>
    </w:p>
    <w:p>
      <w:pPr>
        <w:ind w:left="720" w:right="0"/>
      </w:pPr>
      <w:r>
        <w:rPr>
          <w:rStyle w:val="font_h2"/>
        </w:rPr>
        <w:t xml:space="preserve">2.1. Barrière radiante souple de sous-toiture</w:t>
      </w:r>
    </w:p>
    <w:p>
      <w:pPr>
        <w:ind w:left="1440" w:right="0"/>
      </w:pPr>
      <w:r>
        <w:rPr>
          <w:rStyle w:val="font_h3"/>
        </w:rPr>
        <w:t xml:space="preserve">2.1.1.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1440" w:right="0"/>
      </w:pPr>
      <w:r>
        <w:rPr>
          <w:rStyle w:val="font_h3"/>
        </w:rPr>
        <w:t xml:space="preserve">2.1.2. Composition</w:t>
      </w:r>
    </w:p>
    <w:p>
      <w:pPr>
        <w:ind w:left="1440" w:right="0"/>
      </w:pPr>
      <w:r>
        <w:rPr>
          <w:rStyle w:val="font_h3"/>
        </w:rPr>
        <w:t xml:space="preserve">2.1.3. Dimensions et conditionnement</w:t>
      </w:r>
    </w:p>
    <w:p>
      <w:pPr>
        <w:ind w:left="1440" w:right="0"/>
      </w:pPr>
      <w:r>
        <w:rPr>
          <w:rStyle w:val="font_h3"/>
        </w:rPr>
        <w:t xml:space="preserve">2.1.4. Caractéristiques</w:t>
      </w:r>
    </w:p>
    <w:p>
      <w:pPr>
        <w:ind w:left="2160" w:right="0"/>
      </w:pPr>
      <w:r>
        <w:rPr>
          <w:rStyle w:val="font_h3"/>
        </w:rPr>
        <w:t xml:space="preserve">2.1.4.1. Hygrothermique</w:t>
      </w:r>
    </w:p>
    <w:p>
      <w:pPr>
        <w:ind w:left="2880" w:right="0"/>
      </w:pPr>
      <w:r>
        <w:rPr>
          <w:rStyle w:val="font_h3"/>
        </w:rPr>
        <w:t xml:space="preserve">2.1.4.1.1. Résistance thermique</w:t>
      </w:r>
    </w:p>
    <w:p>
      <w:pPr/>
      <w:r>
        <w:rPr/>
        <w:t xml:space="preserve">Validé par le Groupe Spécialisé le 14/12/2021</w:t>
      </w:r>
    </w:p>
    <w:p>
      <w:pPr/>
      <w:r>
        <w:rPr>
          <w:b/>
          <w:bCs/>
        </w:rPr>
        <w:t xml:space="preserve">Description</w:t>
      </w:r>
    </w:p>
    <w:p>
      <w:pPr/>
      <w:r>
        <w:rPr/>
        <w:t xml:space="preserve">Détermination de la résistance thermique utile selon NF EN 12667.</w:t>
      </w:r>
    </w:p>
    <w:p>
      <w:pPr/>
      <w:r>
        <w:rPr>
          <w:b/>
          <w:bCs/>
        </w:rPr>
        <w:t xml:space="preserve">Justification</w:t>
      </w:r>
    </w:p>
    <w:p>
      <w:pPr/>
      <w:r>
        <w:rPr/>
        <w:t xml:space="preserve">Rapport d'essai réalisé dans un laboratoire accrédité sur 4 dates de fabrication.</w:t>
      </w:r>
    </w:p>
    <w:p>
      <w:pPr>
        <w:ind w:left="2880" w:right="0"/>
      </w:pPr>
      <w:r>
        <w:rPr>
          <w:rStyle w:val="font_h3"/>
        </w:rPr>
        <w:t xml:space="preserve">2.1.4.1.2. Emissivité</w:t>
      </w:r>
    </w:p>
    <w:p>
      <w:pPr/>
      <w:r>
        <w:rPr/>
        <w:t xml:space="preserve">Validé par le Groupe Spécialisé le 14/12/2021</w:t>
      </w:r>
    </w:p>
    <w:p>
      <w:pPr/>
      <w:r>
        <w:rPr>
          <w:b/>
          <w:bCs/>
        </w:rPr>
        <w:t xml:space="preserve">Description</w:t>
      </w:r>
    </w:p>
    <w:p>
      <w:pPr/>
      <w:r>
        <w:rPr/>
        <w:t xml:space="preserve">Détermination de l'émissivité à l'état initial et à l'état vieilli de la face supérieure ou inférieure selon CPT 3769 et NF EN 16012.</w:t>
      </w:r>
    </w:p>
    <w:p>
      <w:pPr/>
      <w:r>
        <w:rPr>
          <w:b/>
          <w:bCs/>
        </w:rPr>
        <w:t xml:space="preserve">Justification</w:t>
      </w:r>
    </w:p>
    <w:p>
      <w:pPr/>
      <w:r>
        <w:rPr/>
        <w:t xml:space="preserve">Rapport d'essai réalisé par un laboratoire accrédité sur 4 dates de fabrication minimum.</w:t>
      </w:r>
    </w:p>
    <w:p>
      <w:pPr>
        <w:ind w:left="2880" w:right="0"/>
      </w:pPr>
      <w:r>
        <w:rPr>
          <w:rStyle w:val="font_h3"/>
        </w:rPr>
        <w:t xml:space="preserve">2.1.4.1.3. Détermination du facteur solaire</w:t>
      </w:r>
    </w:p>
    <w:p>
      <w:pPr/>
      <w:r>
        <w:rPr/>
        <w:t xml:space="preserve">Validé par le Groupe Spécialisé le 14/12/2021</w:t>
      </w:r>
    </w:p>
    <w:p>
      <w:pPr/>
      <w:r>
        <w:rPr>
          <w:b/>
          <w:bCs/>
        </w:rPr>
        <w:t xml:space="preserve">Description</w:t>
      </w:r>
    </w:p>
    <w:p>
      <w:pPr/>
      <w:r>
        <w:rPr/>
        <w:t xml:space="preserve">Fournir un rapport d'étude sur la détermination du facteur solaire.L'instructeur s'assure de la compatibilité des hypothèses et de la pertinence de l'étude vis à vis du domaine d’application appliqué.</w:t>
      </w:r>
    </w:p>
    <w:p>
      <w:pPr/>
      <w:r>
        <w:rPr/>
        <w:t xml:space="preserve">Ce rapport doit tenir compte des hypothèses de calculs suivants :</w:t>
      </w:r>
    </w:p>
    <w:p>
      <w:pPr>
        <w:pPr/>
        <w:numPr>
          <w:ilvl w:val="0"/>
          <w:numId w:val="10"/>
        </w:numPr>
      </w:pPr>
      <w:r>
        <w:rPr/>
        <w:t xml:space="preserve">Caractéristiques optiques des revêtements</w:t>
      </w:r>
    </w:p>
    <w:p>
      <w:pPr>
        <w:pPr/>
        <w:numPr>
          <w:ilvl w:val="1"/>
          <w:numId w:val="10"/>
        </w:numPr>
      </w:pPr>
      <w:r>
        <w:rPr/>
        <w:t xml:space="preserve">coefficient d’absorption énergétique de la couverture selon rapport d'essais ou valeurs par défaut, </w:t>
      </w:r>
    </w:p>
    <w:p>
      <w:pPr>
        <w:pPr/>
        <w:numPr>
          <w:ilvl w:val="1"/>
          <w:numId w:val="10"/>
        </w:numPr>
      </w:pPr>
      <w:r>
        <w:rPr/>
        <w:t xml:space="preserve">émissivité selon rapport d'essais pour les faces concernées</w:t>
      </w:r>
    </w:p>
    <w:p>
      <w:pPr>
        <w:pPr/>
        <w:numPr>
          <w:ilvl w:val="2"/>
          <w:numId w:val="10"/>
        </w:numPr>
      </w:pPr>
      <w:r>
        <w:rPr/>
        <w:t xml:space="preserve">L’émissivité est déterminée conformément à la norme NF EN 16012 sur la base des mesures réalisées sur 3 échantillons en 5 points en appliquant le traitement statistique indiqué dans la norme EN ISO 10456 pour tenir compte de la dispersion en production et de l’incertitude de mesure.</w:t>
      </w:r>
    </w:p>
    <w:p>
      <w:pPr>
        <w:pPr/>
        <w:numPr>
          <w:ilvl w:val="2"/>
          <w:numId w:val="10"/>
        </w:numPr>
      </w:pPr>
      <w:r>
        <w:rPr/>
        <w:t xml:space="preserve">Il convient de prélever dans l’échantillon au moins trois éprouvettes représentatives de la longueur et de la largeur du produit pour inclure une surface représentative d’une éventuelle impression ou performation, le cas échéant. Si les faces du produit sont différentes, il est nécessaire de prélever au moins trois éprouvettes dans chaque face. Il convient que les dimensions des éprouvettes soient adaptées à celles du porte-éprouvette et à son système de fixation. Toutefois, ces dimensions doivent être d’au moins 250 mm x 250 mm.</w:t>
      </w:r>
    </w:p>
    <w:p>
      <w:pPr>
        <w:pPr/>
        <w:numPr>
          <w:ilvl w:val="0"/>
          <w:numId w:val="10"/>
        </w:numPr>
      </w:pPr>
      <w:r>
        <w:rPr/>
        <w:t xml:space="preserve">Résistances thermiques des matériaux sur la base de valeurs :</w:t>
      </w:r>
    </w:p>
    <w:p>
      <w:pPr>
        <w:pPr/>
        <w:numPr>
          <w:ilvl w:val="1"/>
          <w:numId w:val="10"/>
        </w:numPr>
      </w:pPr>
      <w:r>
        <w:rPr/>
        <w:t xml:space="preserve">déclarées, </w:t>
      </w:r>
    </w:p>
    <w:p>
      <w:pPr>
        <w:pPr/>
        <w:numPr>
          <w:ilvl w:val="1"/>
          <w:numId w:val="10"/>
        </w:numPr>
      </w:pPr>
      <w:r>
        <w:rPr/>
        <w:t xml:space="preserve">certifiées, </w:t>
      </w:r>
    </w:p>
    <w:p>
      <w:pPr>
        <w:pPr/>
        <w:numPr>
          <w:ilvl w:val="1"/>
          <w:numId w:val="10"/>
        </w:numPr>
      </w:pPr>
      <w:r>
        <w:rPr/>
        <w:t xml:space="preserve">issus de rapports d'essais </w:t>
      </w:r>
    </w:p>
    <w:p>
      <w:pPr>
        <w:pPr/>
        <w:numPr>
          <w:ilvl w:val="1"/>
          <w:numId w:val="10"/>
        </w:numPr>
      </w:pPr>
      <w:r>
        <w:rPr/>
        <w:t xml:space="preserve">ou de valeurs par défautla valeur utile est déterminée selon règles Th-Bat et jurisprudence du GS20</w:t>
      </w:r>
    </w:p>
    <w:p>
      <w:pPr/>
      <w:r>
        <w:rPr>
          <w:b/>
          <w:bCs/>
        </w:rPr>
        <w:t xml:space="preserve">Conditions aux limites :</w:t>
      </w:r>
    </w:p>
    <w:p>
      <w:pPr/>
      <w:r>
        <w:pict>
          <v:shape type="#_x0000_t75" style="width:832pt; height:305pt; margin-left:0pt; margin-top:0pt; mso-position-horizontal:left; mso-position-vertical:top; mso-position-horizontal-relative:char;">
            <w10:wrap type="inline"/>
            <v:imagedata r:id="rId7" o:title=""/>
          </v:shape>
        </w:pict>
      </w:r>
    </w:p>
    <w:p>
      <w:pPr/>
      <w:r>
        <w:rPr>
          <w:b/>
          <w:bCs/>
        </w:rPr>
        <w:t xml:space="preserve">Hypothèses pour le calcul du facteur solaire :</w:t>
      </w:r>
    </w:p>
    <w:p>
      <w:pPr/>
      <w:r>
        <w:rPr/>
        <w:t xml:space="preserve">La température à l’entrée de la lame d’air ventilée est supposée égale à la condition aux limites extérieures. Les coefficients de transfert convectif ha dans la lame d’air sont déterminés de manière à obtenir un coefficient de transfert convectif global dans la lame d’air hg égal à celui défini dans les Règles Th-Bat Fascicule « parois opaques » avec flux descendant. Cela suppose que le transfert convectif est indépendant de la vitesse d’air et fixé à une valeur limite basse, ce qui est sécuritaire.On obtient alors :</w:t>
      </w:r>
    </w:p>
    <w:p>
      <w:pPr/>
      <w:r>
        <w:pict>
          <v:shape type="#_x0000_t75" style="width:977pt; height:237pt; margin-left:0pt; margin-top:0pt; mso-position-horizontal:left; mso-position-vertical:top; mso-position-horizontal-relative:char;">
            <w10:wrap type="inline"/>
            <v:imagedata r:id="rId8" o:title=""/>
          </v:shape>
        </w:pict>
      </w:r>
    </w:p>
    <w:p>
      <w:pPr/>
      <w:r>
        <w:rPr/>
        <w:t xml:space="preserve">La vitesse d’air dans la lame d’air ventilée se calcule en se limitant à l’impact du tirage thermique. Un calcul itératif est réalisé pour obtenir un couplage thermo-aéraulique cohérent, en se basant sur l’Annexe E « Effet de tirage » de la norme NF EN ISO 52022-3 : 2017, et d’hypothèses complémentaires décrites ci-dessous. </w:t>
      </w:r>
    </w:p>
    <w:p>
      <w:pPr/>
      <w:r>
        <w:rPr>
          <w:b/>
          <w:bCs/>
        </w:rPr>
        <w:t xml:space="preserve">Hypothèses complémentaires : effet de tirage thermique</w:t>
      </w:r>
      <w:r>
        <w:pict>
          <v:shape type="#_x0000_t75" style="width:540pt; height:583pt; margin-left:0pt; margin-top:0pt; mso-position-horizontal:left; mso-position-vertical:top; mso-position-horizontal-relative:char;">
            <w10:wrap type="inline"/>
            <v:imagedata r:id="rId9" o:title=""/>
          </v:shape>
        </w:pict>
      </w:r>
      <w:r>
        <w:pict>
          <v:shape type="#_x0000_t75" style="width:518pt; height:561pt; margin-left:0pt; margin-top:0pt; mso-position-horizontal:left; mso-position-vertical:top; mso-position-horizontal-relative:char;">
            <w10:wrap type="inline"/>
            <v:imagedata r:id="rId10" o:title=""/>
          </v:shape>
        </w:pict>
      </w:r>
    </w:p>
    <w:p>
      <w:pPr/>
      <w:r>
        <w:rPr>
          <w:b/>
          <w:bCs/>
        </w:rPr>
        <w:t xml:space="preserve">Note : </w:t>
      </w:r>
      <w:r>
        <w:rPr/>
        <w:t xml:space="preserve"> les températures ci-dessus sont exprimées en Kelvin.</w:t>
      </w:r>
    </w:p>
    <w:p>
      <w:pPr/>
      <w:r>
        <w:rPr>
          <w:b/>
          <w:bCs/>
        </w:rPr>
        <w:t xml:space="preserve">Formules :</w:t>
      </w:r>
    </w:p>
    <w:p>
      <w:pPr/>
      <w:r>
        <w:pict>
          <v:shape type="#_x0000_t75" style="width:4544pt; height:5320pt; margin-left:0pt; margin-top:0pt; mso-position-horizontal:left; mso-position-vertical:top; mso-position-horizontal-relative:char;">
            <w10:wrap type="inline"/>
            <v:imagedata r:id="rId11" o:title=""/>
          </v:shape>
        </w:pict>
      </w:r>
    </w:p>
    <w:p>
      <w:pPr/>
      <w:r>
        <w:rPr/>
        <w:t xml:space="preserve">Avec :L longueur du rampant ou de la façade, en m</w:t>
      </w:r>
    </w:p>
    <w:p>
      <w:pPr/>
      <w:r>
        <w:rPr/>
        <w:t xml:space="preserve">Ta[0] la température d'air en entrée de lame d'air, en K</w:t>
      </w:r>
    </w:p>
    <w:p>
      <w:pPr/>
      <w:r>
        <w:rPr/>
        <w:t xml:space="preserve">Ta[L] la température d'air en sortie de lame d'air, en K</w:t>
      </w:r>
    </w:p>
    <w:p>
      <w:pPr/>
      <w:r>
        <w:rPr>
          <w:b/>
          <w:bCs/>
        </w:rPr>
        <w:t xml:space="preserve">Note : </w:t>
      </w:r>
      <w:r>
        <w:rPr/>
        <w:t xml:space="preserve"> le coefficient U ci-dessus se calcule conformément aux Règles Th-Bât, en considérant un flux ascendant et la lame d’air extérieure comme fortement ventilée.</w:t>
      </w:r>
    </w:p>
    <w:p>
      <w:pPr/>
      <w:r>
        <w:rPr/>
        <w:t xml:space="preserve">La résistance thermique totale d’une paroi contenant une lame d’air fortement ventilée s’obtient en négligeant la résistance thermique de la lame d’air et de toutes les couches situées entre la lame d’air et l’ambiance extérieure, et en appliquant une résistance thermique superficielle égale à Rsi sur la surface intérieure de la lame d’air.</w:t>
      </w:r>
    </w:p>
    <w:p>
      <w:pPr/>
      <w:r>
        <w:rPr>
          <w:b/>
          <w:bCs/>
        </w:rPr>
        <w:t xml:space="preserve">Exemple de présentation des résultats dans le rapport d'Etude demandé :</w:t>
      </w:r>
    </w:p>
    <w:p>
      <w:pPr/>
      <w:r>
        <w:pict>
          <v:shape type="#_x0000_t75" style="width:706pt; height:772pt; margin-left:0pt; margin-top:0pt; mso-position-horizontal:left; mso-position-vertical:top; mso-position-horizontal-relative:char;">
            <w10:wrap type="inline"/>
            <v:imagedata r:id="rId12" o:title=""/>
          </v:shape>
        </w:pict>
      </w:r>
    </w:p>
    <w:p>
      <w:pPr/>
      <w:r>
        <w:rPr/>
        <w:t xml:space="preserve">Le facteur solaire dépend essentiellement du niveau d'isolation de la toiture et du coefficient d'absorption énergétique de la couverture. A défaut de mesure sur ces éléments, prendre α = 0,6 pour des surfaces couleurs moyennes (rouge sombre, gris clair, bleu clair) et α = 0,8 pour des couleurs sombres (brun, gris moyen).</w:t>
      </w:r>
    </w:p>
    <w:p>
      <w:pPr>
        <w:ind w:left="2880" w:right="0"/>
      </w:pPr>
      <w:r>
        <w:rPr>
          <w:rStyle w:val="font_h3"/>
        </w:rPr>
        <w:t xml:space="preserve">2.1.4.1.4. Transmission à la vapeur d'eau</w:t>
      </w:r>
    </w:p>
    <w:p>
      <w:pPr/>
      <w:r>
        <w:rPr/>
        <w:t xml:space="preserve">Validé par le Groupe Spécialisé le 14/12/2021</w:t>
      </w:r>
    </w:p>
    <w:p>
      <w:pPr/>
      <w:r>
        <w:rPr>
          <w:b/>
          <w:bCs/>
        </w:rPr>
        <w:t xml:space="preserve">Description</w:t>
      </w:r>
    </w:p>
    <w:p>
      <w:pPr/>
      <w:r>
        <w:rPr/>
        <w:t xml:space="preserve">Détermination de la transmission à la vapeur d'eau (valeur Sd) selon EN ISO 12572.</w:t>
      </w:r>
    </w:p>
    <w:p>
      <w:pPr/>
      <w:r>
        <w:rPr>
          <w:b/>
          <w:bCs/>
        </w:rPr>
        <w:t xml:space="preserve">Justification</w:t>
      </w:r>
    </w:p>
    <w:p>
      <w:pPr/>
      <w:r>
        <w:rPr/>
        <w:t xml:space="preserve">Rapport d'essai.</w:t>
      </w:r>
    </w:p>
    <w:p>
      <w:pPr>
        <w:ind w:left="2880" w:right="0"/>
      </w:pPr>
      <w:r>
        <w:rPr>
          <w:rStyle w:val="font_h3"/>
        </w:rPr>
        <w:t xml:space="preserve">2.1.4.1.5. Résistance à la pénétration d'eau</w:t>
      </w:r>
    </w:p>
    <w:p>
      <w:pPr/>
      <w:r>
        <w:rPr/>
        <w:t xml:space="preserve">Validé par le Groupe Spécialisé le 14/12/2021</w:t>
      </w:r>
    </w:p>
    <w:p>
      <w:pPr/>
      <w:r>
        <w:rPr>
          <w:b/>
          <w:bCs/>
        </w:rPr>
        <w:t xml:space="preserve">Description</w:t>
      </w:r>
    </w:p>
    <w:p>
      <w:pPr/>
      <w:r>
        <w:rPr/>
        <w:t xml:space="preserve">Détermination de la résistance à la pénétration d'eau à l'état initial et après vieillissement selon EN 1928.</w:t>
      </w:r>
    </w:p>
    <w:p>
      <w:pPr>
        <w:ind w:left="2160" w:right="0"/>
      </w:pPr>
      <w:r>
        <w:rPr>
          <w:rStyle w:val="font_h3"/>
        </w:rPr>
        <w:t xml:space="preserve">2.1.4.2. Comportement mécanique (aptitude à l'emploi)</w:t>
      </w:r>
    </w:p>
    <w:p>
      <w:pPr>
        <w:ind w:left="2880" w:right="0"/>
      </w:pPr>
      <w:r>
        <w:rPr>
          <w:rStyle w:val="font_h3"/>
        </w:rPr>
        <w:t xml:space="preserve">2.1.4.2.1. Traction</w:t>
      </w:r>
    </w:p>
    <w:p>
      <w:pPr/>
      <w:r>
        <w:rPr/>
        <w:t xml:space="preserve">Validé par le Groupe Spécialisé le 14/12/2021</w:t>
      </w:r>
    </w:p>
    <w:p>
      <w:pPr/>
      <w:r>
        <w:rPr>
          <w:b/>
          <w:bCs/>
        </w:rPr>
        <w:t xml:space="preserve">Description</w:t>
      </w:r>
    </w:p>
    <w:p>
      <w:pPr/>
      <w:r>
        <w:rPr/>
        <w:t xml:space="preserve">Détermination de la traction à l'état initial et après vieillissement selon EN 12311-1 modifiée par EN 13859-1.</w:t>
      </w:r>
    </w:p>
    <w:p>
      <w:pPr>
        <w:ind w:left="2880" w:right="0"/>
      </w:pPr>
      <w:r>
        <w:rPr>
          <w:rStyle w:val="font_h3"/>
        </w:rPr>
        <w:t xml:space="preserve">2.1.4.2.2. Allongement à la rupture</w:t>
      </w:r>
    </w:p>
    <w:p>
      <w:pPr/>
      <w:r>
        <w:rPr/>
        <w:t xml:space="preserve">Validé par le Groupe Spécialisé le 14/12/2021</w:t>
      </w:r>
    </w:p>
    <w:p>
      <w:pPr/>
      <w:r>
        <w:rPr>
          <w:b/>
          <w:bCs/>
        </w:rPr>
        <w:t xml:space="preserve">Description</w:t>
      </w:r>
    </w:p>
    <w:p>
      <w:pPr/>
      <w:r>
        <w:rPr/>
        <w:t xml:space="preserve">Détermination de l'allongement à la rupture selon EN 12311-1 modifiée par EN 13859-1.</w:t>
      </w:r>
    </w:p>
    <w:p>
      <w:pPr>
        <w:ind w:left="2880" w:right="0"/>
      </w:pPr>
      <w:r>
        <w:rPr>
          <w:rStyle w:val="font_h3"/>
        </w:rPr>
        <w:t xml:space="preserve">2.1.4.2.3. Résistance à la déchirure au clou</w:t>
      </w:r>
    </w:p>
    <w:p>
      <w:pPr/>
      <w:r>
        <w:rPr/>
        <w:t xml:space="preserve">Validé par le Groupe Spécialisé le 14/12/2021</w:t>
      </w:r>
    </w:p>
    <w:p>
      <w:pPr/>
      <w:r>
        <w:rPr>
          <w:b/>
          <w:bCs/>
        </w:rPr>
        <w:t xml:space="preserve">Description</w:t>
      </w:r>
    </w:p>
    <w:p>
      <w:pPr/>
      <w:r>
        <w:rPr/>
        <w:t xml:space="preserve">Détermination de la déchirure au clou selon EN 12310-1 modifiée par EN 13859-1.</w:t>
      </w:r>
    </w:p>
    <w:p>
      <w:pPr>
        <w:ind w:left="2880" w:right="0"/>
      </w:pPr>
      <w:r>
        <w:rPr>
          <w:rStyle w:val="font_h3"/>
        </w:rPr>
        <w:t xml:space="preserve">2.1.4.2.4. Stabilité dimensionnelle</w:t>
      </w:r>
    </w:p>
    <w:p>
      <w:pPr/>
      <w:r>
        <w:rPr/>
        <w:t xml:space="preserve">Validé par le Groupe Spécialisé le 14/12/2021</w:t>
      </w:r>
    </w:p>
    <w:p>
      <w:pPr/>
      <w:r>
        <w:rPr>
          <w:b/>
          <w:bCs/>
        </w:rPr>
        <w:t xml:space="preserve">Description</w:t>
      </w:r>
    </w:p>
    <w:p>
      <w:pPr/>
      <w:r>
        <w:rPr/>
        <w:t xml:space="preserve">Détermination de la stabilité dimensionnelle selon EN 1107-2.</w:t>
      </w:r>
    </w:p>
    <w:p>
      <w:pPr>
        <w:ind w:left="2880" w:right="0"/>
      </w:pPr>
      <w:r>
        <w:rPr>
          <w:rStyle w:val="font_h3"/>
        </w:rPr>
        <w:t xml:space="preserve">2.1.4.2.5. Souplesse à basse température</w:t>
      </w:r>
    </w:p>
    <w:p>
      <w:pPr/>
      <w:r>
        <w:rPr/>
        <w:t xml:space="preserve">Validé par le Groupe Spécialisé le 14/12/2021</w:t>
      </w:r>
    </w:p>
    <w:p>
      <w:pPr/>
      <w:r>
        <w:rPr>
          <w:b/>
          <w:bCs/>
        </w:rPr>
        <w:t xml:space="preserve">Description</w:t>
      </w:r>
    </w:p>
    <w:p>
      <w:pPr/>
      <w:r>
        <w:rPr/>
        <w:t xml:space="preserve">Détermination de la souplesse à basse température selon EN 1109.</w:t>
      </w:r>
    </w:p>
    <w:p>
      <w:pPr>
        <w:ind w:left="2160" w:right="0"/>
      </w:pPr>
      <w:r>
        <w:rPr>
          <w:rStyle w:val="font_h3"/>
        </w:rPr>
        <w:t xml:space="preserve">2.1.4.3. Combustibilité et inflammabilité</w:t>
      </w:r>
    </w:p>
    <w:p>
      <w:pPr>
        <w:ind w:left="2880" w:right="0"/>
      </w:pPr>
      <w:r>
        <w:rPr>
          <w:rStyle w:val="font_h3"/>
        </w:rPr>
        <w:t xml:space="preserve">2.1.4.3.1. Réaction au feu du produit (optionnel)</w:t>
      </w:r>
    </w:p>
    <w:p>
      <w:pPr/>
      <w:r>
        <w:rPr/>
        <w:t xml:space="preserve">Validé par le Groupe Spécialisé le 27/05/2019</w:t>
      </w:r>
    </w:p>
    <w:p>
      <w:pPr/>
      <w:r>
        <w:rPr>
          <w:b/>
          <w:bCs/>
        </w:rPr>
        <w:t xml:space="preserve">Description</w:t>
      </w:r>
    </w:p>
    <w:p>
      <w:pPr/>
      <w:r>
        <w:rPr/>
        <w:t xml:space="preserve">Détermination de la réaction au feu du produit selon la NF EN 13501-1.En l'absence d'essai, le mention "PND" devra apparaître dans l'Avis Technique.</w:t>
      </w:r>
    </w:p>
    <w:p>
      <w:pPr/>
      <w:r>
        <w:rPr/>
        <w:t xml:space="preserve">JD 19-5</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b/>
          <w:bCs/>
        </w:rPr>
        <w:t xml:space="preserve">Justification</w:t>
      </w:r>
    </w:p>
    <w:p>
      <w:pPr/>
      <w:r>
        <w:rPr/>
        <w:t xml:space="preserve">Rapport d'essai et rapport de classement de réaction au feu du produit établis dans un laboratoire notifié.</w:t>
      </w:r>
    </w:p>
    <w:p>
      <w:pPr>
        <w:ind w:left="2160" w:right="0"/>
      </w:pPr>
      <w:r>
        <w:rPr>
          <w:rStyle w:val="font_h3"/>
        </w:rPr>
        <w:t xml:space="preserve">2.1.4.4. Autres caractéristiques</w:t>
      </w:r>
    </w:p>
    <w:p>
      <w:pPr>
        <w:ind w:left="2880" w:right="0"/>
      </w:pPr>
      <w:r>
        <w:rPr>
          <w:rStyle w:val="font_h3"/>
        </w:rPr>
        <w:t xml:space="preserve">2.1.4.4.1. Emissions de composés organiques volatils</w:t>
      </w:r>
    </w:p>
    <w:p>
      <w:pPr/>
      <w:r>
        <w:rPr/>
        <w:t xml:space="preserve">Validé par le Groupe Spécialisé le 14/12/2021</w:t>
      </w:r>
    </w:p>
    <w:p>
      <w:pPr/>
      <w:r>
        <w:rPr>
          <w:b/>
          <w:bCs/>
        </w:rPr>
        <w:t xml:space="preserve">Description</w:t>
      </w:r>
    </w:p>
    <w:p>
      <w:pPr/>
      <w:r>
        <w:rPr/>
        <w:t xml:space="preserve">Détermination de l'émission de Composés Organiques Volatils du produit selon les méthodes de caractérisation des émissions dans l’air intérieur basées sur les normes ISO 16000.</w:t>
      </w:r>
    </w:p>
    <w:p>
      <w:pPr/>
      <w:r>
        <w:rPr>
          <w:b/>
          <w:bCs/>
        </w:rPr>
        <w:t xml:space="preserve">Justification</w:t>
      </w:r>
    </w:p>
    <w:p>
      <w:pPr/>
      <w:r>
        <w:rPr/>
        <w:t xml:space="preserve">Etiquetage COV.</w:t>
      </w:r>
    </w:p>
    <w:p>
      <w:pPr>
        <w:ind w:left="2880" w:right="0"/>
      </w:pPr>
      <w:r>
        <w:rPr>
          <w:rStyle w:val="font_h3"/>
        </w:rPr>
        <w:t xml:space="preserve">2.1.4.4.2. Aspects sanitaires</w:t>
      </w:r>
    </w:p>
    <w:p>
      <w:pPr/>
      <w:r>
        <w:rPr/>
        <w:t xml:space="preserve">Validé par le Groupe Spécialisé le 14/12/2021</w:t>
      </w:r>
    </w:p>
    <w:p>
      <w:pPr/>
      <w:r>
        <w:rPr>
          <w:b/>
          <w:bCs/>
        </w:rPr>
        <w:t xml:space="preserve">Description</w:t>
      </w:r>
    </w:p>
    <w:p>
      <w:pPr/>
      <w:r>
        <w:rPr/>
        <w:t xml:space="preserve">Respect de la réglementation, et notamment l'ensemble des obligations réglementaires relatives aux substances dangereuses, pour leur fabrication, leur intégration dans les ouvrages du domaine d'emploi et l'exploitation de ceux-ci.</w:t>
      </w:r>
    </w:p>
    <w:p>
      <w:pPr/>
      <w:r>
        <w:rPr/>
        <w:t xml:space="preserve">Concernant l’application et la manipulation des matières premières, l’applicateur doit respecter l’ensemble des dispositions légales et réglementaires destinées à protéger l’hygiène et la sécurité au travail :</w:t>
      </w:r>
    </w:p>
    <w:p>
      <w:pPr/>
      <w:r>
        <w:rPr/>
        <w:t xml:space="preserve">Règles générales de prévention des risques chimiques :</w:t>
      </w:r>
    </w:p>
    <w:p>
      <w:pPr>
        <w:pPr/>
        <w:numPr>
          <w:ilvl w:val="0"/>
          <w:numId w:val="11"/>
        </w:numPr>
      </w:pPr>
      <w:r>
        <w:rPr/>
        <w:t xml:space="preserve">Art. R.4412-1 à R.4412-160 du Code du travail ;</w:t>
      </w:r>
    </w:p>
    <w:p>
      <w:pPr>
        <w:pPr/>
        <w:numPr>
          <w:ilvl w:val="0"/>
          <w:numId w:val="11"/>
        </w:numPr>
      </w:pPr>
      <w:r>
        <w:rPr/>
        <w:t xml:space="preserve">Fiche pratique de sécurité FT129 de l’Institut National de Recherche et Sécurité (INRS).</w:t>
      </w:r>
    </w:p>
    <w:p>
      <w:pPr/>
      <w:r>
        <w:rPr/>
        <w:t xml:space="preserve">Aération et assainissement des locaux :</w:t>
      </w:r>
    </w:p>
    <w:p>
      <w:pPr>
        <w:pPr/>
        <w:numPr>
          <w:ilvl w:val="0"/>
          <w:numId w:val="12"/>
        </w:numPr>
      </w:pPr>
      <w:r>
        <w:rPr/>
        <w:t xml:space="preserve">Art R.4222-1 à R.4222-26 du Code de travail.</w:t>
      </w:r>
    </w:p>
    <w:p>
      <w:pPr/>
      <w:r>
        <w:rPr/>
        <w:t xml:space="preserve">Le titulaire fournit la Fiche de Données de Sécurité (FDS) du procédé sur demande.</w:t>
      </w:r>
    </w:p>
    <w:p>
      <w:pPr>
        <w:ind w:left="2880" w:right="0"/>
      </w:pPr>
      <w:r>
        <w:rPr>
          <w:rStyle w:val="font_h3"/>
        </w:rPr>
        <w:t xml:space="preserve">2.1.4.4.3. Données environnementales (optionnel)</w:t>
      </w:r>
    </w:p>
    <w:p>
      <w:pPr/>
      <w:r>
        <w:rPr/>
        <w:t xml:space="preserve">Validé par le Groupe Spécialisé le 14/12/2021</w:t>
      </w:r>
    </w:p>
    <w:p>
      <w:pPr/>
      <w:r>
        <w:rPr>
          <w:b/>
          <w:bCs/>
        </w:rPr>
        <w:t xml:space="preserve">Description</w:t>
      </w:r>
    </w:p>
    <w:p>
      <w:pPr/>
      <w:r>
        <w:rPr/>
        <w:t xml:space="preserve">Détermination de l'impact environnemental du produit.</w:t>
      </w:r>
    </w:p>
    <w:p>
      <w:pPr/>
      <w:r>
        <w:rPr>
          <w:b/>
          <w:bCs/>
        </w:rPr>
        <w:t xml:space="preserve">Justification</w:t>
      </w:r>
    </w:p>
    <w:p>
      <w:pPr/>
      <w:r>
        <w:rPr/>
        <w:t xml:space="preserve">Déclaration Environnementale du produit. Ce document doit également être publié sur le site </w:t>
      </w:r>
      <w:hyperlink r:id="rId13" w:history="1">
        <w:r>
          <w:rPr/>
          <w:t xml:space="preserve">http://www.declaration-environnementale.gouv.fr/</w:t>
        </w:r>
      </w:hyperlink>
      <w:r>
        <w:rPr/>
        <w:t xml:space="preserve">.</w:t>
      </w:r>
    </w:p>
    <w:p>
      <w:pPr>
        <w:ind w:left="720" w:right="0"/>
      </w:pPr>
      <w:r>
        <w:rPr>
          <w:rStyle w:val="font_h2"/>
        </w:rPr>
        <w:t xml:space="preserve">2.2. Accessoires</w:t>
      </w:r>
    </w:p>
    <w:p>
      <w:pPr>
        <w:ind w:left="1440" w:right="0"/>
      </w:pPr>
      <w:r>
        <w:rPr>
          <w:rStyle w:val="font_h3"/>
        </w:rPr>
        <w:t xml:space="preserve">2.2.1. Fixations</w:t>
      </w:r>
    </w:p>
    <w:p>
      <w:pPr>
        <w:ind w:left="1440" w:right="0"/>
      </w:pPr>
      <w:r>
        <w:rPr>
          <w:rStyle w:val="font_h3"/>
        </w:rPr>
        <w:t xml:space="preserve">2.2.2. Bande adhésive</w:t>
      </w:r>
    </w:p>
    <w:p>
      <w:pPr>
        <w:ind w:left="1440" w:right="0"/>
      </w:pPr>
      <w:r>
        <w:rPr>
          <w:rStyle w:val="font_h3"/>
        </w:rPr>
        <w:t xml:space="preserve">2.2.3. Ecran complémentaire</w:t>
      </w:r>
    </w:p>
    <w:p>
      <w:pPr>
        <w:ind w:left="1440" w:right="0"/>
      </w:pPr>
      <w:r>
        <w:rPr>
          <w:rStyle w:val="font_h3"/>
        </w:rPr>
        <w:t xml:space="preserve">2.2.4. Isolant utilisé en sous-face du procédé</w:t>
      </w:r>
    </w:p>
    <w:p>
      <w:pPr>
        <w:ind w:left="1440" w:right="0"/>
      </w:pPr>
      <w:r>
        <w:rPr>
          <w:rStyle w:val="font_h3"/>
        </w:rPr>
        <w:t xml:space="preserve">2.2.5. Pare-vapeur</w:t>
      </w:r>
    </w:p>
    <w:p>
      <w:pPr/>
      <w:r>
        <w:rPr>
          <w:rStyle w:val="font_h1"/>
        </w:rPr>
        <w:t xml:space="preserve">3. Fabrication, Contrôle qualité, Traçabilité (étiquette)</w:t>
      </w:r>
    </w:p>
    <w:p>
      <w:pPr>
        <w:ind w:left="720" w:right="0"/>
      </w:pPr>
      <w:r>
        <w:rPr>
          <w:rStyle w:val="font_h2"/>
        </w:rPr>
        <w:t xml:space="preserve">3.1. Fabrication</w:t>
      </w:r>
    </w:p>
    <w:p>
      <w:pPr/>
      <w:r>
        <w:rPr/>
        <w:t xml:space="preserve">Validé par le Groupe Spécialisé le 14/12/2021</w:t>
      </w:r>
    </w:p>
    <w:p>
      <w:pPr/>
      <w:r>
        <w:rPr>
          <w:b/>
          <w:bCs/>
        </w:rPr>
        <w:t xml:space="preserve">Description</w:t>
      </w:r>
    </w:p>
    <w:p>
      <w:pPr/>
      <w:r>
        <w:rPr/>
        <w:t xml:space="preserve">Décrire les étapes du processus d’assemblage.</w:t>
      </w:r>
    </w:p>
    <w:p>
      <w:pPr>
        <w:ind w:left="720" w:right="0"/>
      </w:pPr>
      <w:r>
        <w:rPr>
          <w:rStyle w:val="font_h2"/>
        </w:rPr>
        <w:t xml:space="preserve">3.2. Contrôles</w:t>
      </w:r>
    </w:p>
    <w:p>
      <w:pPr>
        <w:ind w:left="1440" w:right="0"/>
      </w:pPr>
      <w:r>
        <w:rPr>
          <w:rStyle w:val="font_h3"/>
        </w:rPr>
        <w:t xml:space="preserve">3.2.1. Contrôles des constituants</w:t>
      </w:r>
    </w:p>
    <w:p>
      <w:pPr/>
      <w:r>
        <w:rPr/>
        <w:t xml:space="preserve">Validé par le Groupe Spécialisé le 14/12/2021</w:t>
      </w:r>
    </w:p>
    <w:p>
      <w:pPr/>
      <w:r>
        <w:rPr>
          <w:b/>
          <w:bCs/>
        </w:rPr>
        <w:t xml:space="preserve">Description</w:t>
      </w:r>
    </w:p>
    <w:p>
      <w:pPr/>
      <w:r>
        <w:rPr/>
        <w:t xml:space="preserve">Le site  d'assemblage des composants doit être sous un système de contrôle qualitéUn plan de contrôle qualité doit être fournit.</w:t>
      </w:r>
    </w:p>
    <w:p>
      <w:pPr/>
      <w:r>
        <w:rPr/>
        <w:t xml:space="preserve">Préciser : </w:t>
      </w:r>
    </w:p>
    <w:p>
      <w:pPr>
        <w:pPr/>
        <w:numPr>
          <w:ilvl w:val="0"/>
          <w:numId w:val="13"/>
        </w:numPr>
      </w:pPr>
      <w:r>
        <w:rPr/>
        <w:t xml:space="preserve">Lieu de la fabrication,</w:t>
      </w:r>
    </w:p>
    <w:p>
      <w:pPr>
        <w:pPr/>
        <w:numPr>
          <w:ilvl w:val="0"/>
          <w:numId w:val="13"/>
        </w:numPr>
      </w:pPr>
      <w:r>
        <w:rPr/>
        <w:t xml:space="preserve">Contrôles matières premières, fabrication, produits finis :o Nature des contrôles,o Fréquences,o Référentiels,o Seuils retenus.o ….</w:t>
      </w:r>
    </w:p>
    <w:p>
      <w:pPr/>
      <w:r>
        <w:rPr>
          <w:b/>
          <w:bCs/>
        </w:rPr>
        <w:t xml:space="preserve">Justification</w:t>
      </w:r>
    </w:p>
    <w:p>
      <w:pPr/>
      <w:r>
        <w:rPr/>
        <w:t xml:space="preserve">Plan de contrôle qualité.</w:t>
      </w:r>
    </w:p>
    <w:p>
      <w:pPr>
        <w:ind w:left="1440" w:right="0"/>
      </w:pPr>
      <w:r>
        <w:rPr>
          <w:rStyle w:val="font_h3"/>
        </w:rPr>
        <w:t xml:space="preserve">3.2.2. Contrôles en cours de production et sur produit fini</w:t>
      </w:r>
    </w:p>
    <w:p>
      <w:pPr/>
      <w:r>
        <w:rPr/>
        <w:t xml:space="preserve">Validé par le Groupe Spécialisé le 14/12/2021</w:t>
      </w:r>
    </w:p>
    <w:p>
      <w:pPr/>
      <w:r>
        <w:rPr>
          <w:b/>
          <w:bCs/>
        </w:rPr>
        <w:t xml:space="preserve">Description</w:t>
      </w:r>
    </w:p>
    <w:p>
      <w:pPr/>
      <w:r>
        <w:rPr/>
        <w:t xml:space="preserve">Le site  d'assemblage des composants doit être certifié ISO 9001.Un plan de contrôle qualité doit être fournit.</w:t>
      </w:r>
    </w:p>
    <w:p>
      <w:pPr/>
      <w:r>
        <w:rPr>
          <w:b/>
          <w:bCs/>
        </w:rPr>
        <w:t xml:space="preserve">Justification</w:t>
      </w:r>
    </w:p>
    <w:p>
      <w:pPr/>
      <w:r>
        <w:rPr/>
        <w:t xml:space="preserve">Plan de contrôle qualité.</w:t>
      </w:r>
    </w:p>
    <w:p>
      <w:pPr>
        <w:ind w:left="720" w:right="0"/>
      </w:pPr>
      <w:r>
        <w:rPr>
          <w:rStyle w:val="font_h2"/>
        </w:rPr>
        <w:t xml:space="preserve">3.3. Marquage et Conditionnement</w:t>
      </w:r>
    </w:p>
    <w:p>
      <w:pPr>
        <w:ind w:left="1440" w:right="0"/>
      </w:pPr>
      <w:r>
        <w:rPr>
          <w:rStyle w:val="font_h3"/>
        </w:rPr>
        <w:t xml:space="preserve">3.3.1. Marquage</w:t>
      </w:r>
    </w:p>
    <w:p>
      <w:pPr/>
      <w:r>
        <w:rPr/>
        <w:t xml:space="preserve">Validé par le Groupe Spécialisé le 14/12/2021</w:t>
      </w:r>
    </w:p>
    <w:p>
      <w:pPr/>
      <w:r>
        <w:rPr>
          <w:b/>
          <w:bCs/>
        </w:rPr>
        <w:t xml:space="preserve">Description</w:t>
      </w:r>
    </w:p>
    <w:p>
      <w:pPr/>
      <w:r>
        <w:rPr/>
        <w:t xml:space="preserve">Une étiquette adhésive est apposée sur chaque rouleau avec l’identification commerciale du produit.</w:t>
      </w:r>
    </w:p>
    <w:p>
      <w:pPr>
        <w:ind w:left="1440" w:right="0"/>
      </w:pPr>
      <w:r>
        <w:rPr>
          <w:rStyle w:val="font_h3"/>
        </w:rPr>
        <w:t xml:space="preserve">3.3.2. Lignage</w:t>
      </w:r>
    </w:p>
    <w:p>
      <w:pPr>
        <w:ind w:left="1440" w:right="0"/>
      </w:pPr>
      <w:r>
        <w:rPr>
          <w:rStyle w:val="font_h3"/>
        </w:rPr>
        <w:t xml:space="preserve">3.3.3. Conditionnement</w:t>
      </w:r>
    </w:p>
    <w:p>
      <w:pPr>
        <w:ind w:left="1440" w:right="0"/>
      </w:pPr>
      <w:r>
        <w:rPr>
          <w:rStyle w:val="font_h3"/>
        </w:rPr>
        <w:t xml:space="preserve">3.3.4. Traçabilité</w:t>
      </w:r>
    </w:p>
    <w:p>
      <w:pPr/>
      <w:r>
        <w:rPr/>
        <w:t xml:space="preserve">Validé par le Groupe Spécialisé le 14/12/2021</w:t>
      </w:r>
    </w:p>
    <w:p>
      <w:pPr/>
      <w:r>
        <w:rPr>
          <w:b/>
          <w:bCs/>
        </w:rPr>
        <w:t xml:space="preserve">Description</w:t>
      </w:r>
    </w:p>
    <w:p>
      <w:pPr/>
      <w:r>
        <w:rPr/>
        <w:t xml:space="preserve">Un numéro de lot est apposé sur l’étiquette commerciale du produit.</w:t>
      </w:r>
    </w:p>
    <w:p>
      <w:pPr>
        <w:ind w:left="720" w:right="0"/>
      </w:pPr>
      <w:r>
        <w:rPr>
          <w:rStyle w:val="font_h2"/>
        </w:rPr>
        <w:t xml:space="preserve">3.4. Stockage</w:t>
      </w:r>
    </w:p>
    <w:p>
      <w:pPr/>
      <w:r>
        <w:rPr>
          <w:rStyle w:val="font_h1"/>
        </w:rPr>
        <w:t xml:space="preserve">4. Mise en œuvre</w:t>
      </w:r>
    </w:p>
    <w:p>
      <w:pPr>
        <w:ind w:left="720" w:right="0"/>
      </w:pPr>
      <w:r>
        <w:rPr>
          <w:rStyle w:val="font_h2"/>
        </w:rPr>
        <w:t xml:space="preserve">4.1. Sécurité, prévention des accidents</w:t>
      </w:r>
    </w:p>
    <w:p>
      <w:pPr/>
      <w:r>
        <w:rPr/>
        <w:t xml:space="preserve">Validé par le Groupe Spécialisé le 14/12/2021</w:t>
      </w:r>
    </w:p>
    <w:p>
      <w:pPr/>
      <w:r>
        <w:rPr>
          <w:b/>
          <w:bCs/>
        </w:rPr>
        <w:t xml:space="preserve">Description</w:t>
      </w:r>
    </w:p>
    <w:p>
      <w:pPr/>
      <w:r>
        <w:rPr/>
        <w:t xml:space="preserve">Décrire les précautions relatives à la sécurité des personnes, la protection solaire, la protection contre les chutes de hauteur, le poids des rouleaux.</w:t>
      </w:r>
    </w:p>
    <w:p>
      <w:pPr>
        <w:ind w:left="720" w:right="0"/>
      </w:pPr>
      <w:r>
        <w:rPr>
          <w:rStyle w:val="font_h2"/>
        </w:rPr>
        <w:t xml:space="preserve">4.2. Généralités</w:t>
      </w:r>
    </w:p>
    <w:p>
      <w:pPr/>
      <w:r>
        <w:rPr/>
        <w:t xml:space="preserve">Validé par le Groupe Spécialisé le 14/12/2021</w:t>
      </w:r>
    </w:p>
    <w:p>
      <w:pPr/>
      <w:r>
        <w:rPr>
          <w:b/>
          <w:bCs/>
        </w:rPr>
        <w:t xml:space="preserve">Description</w:t>
      </w:r>
    </w:p>
    <w:p>
      <w:pPr/>
      <w:r>
        <w:rPr/>
        <w:t xml:space="preserve">Respecter les Cahiers des Clauses Techniques des DTU 40.1 et 40.2 et du NF DTU 40.29 (Écran souple de sous-toiture – Règles de Mise en œuvre). </w:t>
      </w:r>
    </w:p>
    <w:p>
      <w:pPr/>
      <w:r>
        <w:rPr/>
        <w:t xml:space="preserve">Décrire les techniques de mise en œuvre :</w:t>
      </w:r>
    </w:p>
    <w:p>
      <w:pPr>
        <w:pPr/>
        <w:numPr>
          <w:ilvl w:val="0"/>
          <w:numId w:val="14"/>
        </w:numPr>
      </w:pPr>
      <w:r>
        <w:rPr/>
        <w:t xml:space="preserve">sur combles perdus</w:t>
      </w:r>
    </w:p>
    <w:p>
      <w:pPr>
        <w:pPr/>
        <w:numPr>
          <w:ilvl w:val="0"/>
          <w:numId w:val="14"/>
        </w:numPr>
      </w:pPr>
      <w:r>
        <w:rPr/>
        <w:t xml:space="preserve">directement sur isolant</w:t>
      </w:r>
    </w:p>
    <w:p>
      <w:pPr>
        <w:pPr/>
        <w:numPr>
          <w:ilvl w:val="0"/>
          <w:numId w:val="14"/>
        </w:numPr>
      </w:pPr>
      <w:r>
        <w:rPr/>
        <w:t xml:space="preserve">sur des contrelattes fixées sur un support continu type panneau sandwich, caisson chevronné</w:t>
      </w:r>
    </w:p>
    <w:p>
      <w:pPr/>
      <w:r>
        <w:rPr/>
        <w:t xml:space="preserve">Décrire le cas de supports de couverture discontinus avec l’entraxe maximum.</w:t>
      </w:r>
    </w:p>
    <w:p>
      <w:pPr>
        <w:ind w:left="720" w:right="0"/>
      </w:pPr>
      <w:r>
        <w:rPr>
          <w:rStyle w:val="font_h2"/>
        </w:rPr>
        <w:t xml:space="preserve">4.3. Dimensionnement</w:t>
      </w:r>
    </w:p>
    <w:p>
      <w:pPr/>
      <w:r>
        <w:rPr/>
        <w:t xml:space="preserve">Validé par le Groupe Spécialisé le 14/12/2021</w:t>
      </w:r>
    </w:p>
    <w:p>
      <w:pPr/>
      <w:r>
        <w:rPr>
          <w:b/>
          <w:bCs/>
        </w:rPr>
        <w:t xml:space="preserve">Description</w:t>
      </w:r>
    </w:p>
    <w:p>
      <w:pPr/>
      <w:r>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4.4. Mise hors d'eau provisoire</w:t>
      </w:r>
    </w:p>
    <w:p>
      <w:pPr/>
      <w:r>
        <w:rPr/>
        <w:t xml:space="preserve">Validé par le Groupe Spécialisé le 14/12/2021</w:t>
      </w:r>
    </w:p>
    <w:p>
      <w:pPr/>
      <w:r>
        <w:rPr>
          <w:b/>
          <w:bCs/>
        </w:rPr>
        <w:t xml:space="preserve">Description</w:t>
      </w:r>
    </w:p>
    <w:p>
      <w:pPr/>
      <w:r>
        <w:rPr/>
        <w:t xml:space="preserve">Donner les délais minimum de mise hors d'eau du procédé.</w:t>
      </w:r>
    </w:p>
    <w:p>
      <w:pPr>
        <w:ind w:left="720" w:right="0"/>
      </w:pPr>
      <w:r>
        <w:rPr>
          <w:rStyle w:val="font_h2"/>
        </w:rPr>
        <w:t xml:space="preserve">4.5. Pentes admissibles</w:t>
      </w:r>
    </w:p>
    <w:p>
      <w:pPr/>
      <w:r>
        <w:rPr/>
        <w:t xml:space="preserve">Validé par le Groupe Spécialisé le 14/12/2021</w:t>
      </w:r>
    </w:p>
    <w:p>
      <w:pPr/>
      <w:r>
        <w:rPr>
          <w:b/>
          <w:bCs/>
        </w:rPr>
        <w:t xml:space="preserve">Description</w:t>
      </w:r>
    </w:p>
    <w:p>
      <w:pPr/>
      <w:r>
        <w:rPr/>
        <w:t xml:space="preserve">Respecter les préconisations définies par les DTU de la série 40.1 et 40.2 ou par les AT/DTA de couvertures en petits éléments.</w:t>
      </w:r>
    </w:p>
    <w:p>
      <w:pPr>
        <w:ind w:left="720" w:right="0"/>
      </w:pPr>
      <w:r>
        <w:rPr>
          <w:rStyle w:val="font_h2"/>
        </w:rPr>
        <w:t xml:space="preserve">4.6. Pose des lés en partie courante</w:t>
      </w:r>
    </w:p>
    <w:p>
      <w:pPr>
        <w:ind w:left="1440" w:right="0"/>
      </w:pPr>
      <w:r>
        <w:rPr>
          <w:rStyle w:val="font_h3"/>
        </w:rPr>
        <w:t xml:space="preserve">4.6.1. Sens de pose et fixation</w:t>
      </w:r>
    </w:p>
    <w:p>
      <w:pPr/>
      <w:r>
        <w:rPr/>
        <w:t xml:space="preserve">Validé par le Groupe Spécialisé le 14/12/2021</w:t>
      </w:r>
    </w:p>
    <w:p>
      <w:pPr/>
      <w:r>
        <w:rPr>
          <w:b/>
          <w:bCs/>
        </w:rPr>
        <w:t xml:space="preserve">Description</w:t>
      </w:r>
    </w:p>
    <w:p>
      <w:pPr/>
      <w:r>
        <w:rPr/>
        <w:t xml:space="preserve">Décrire le sens de pose</w:t>
      </w:r>
    </w:p>
    <w:p>
      <w:pPr/>
      <w:r>
        <w:rPr>
          <w:b/>
          <w:bCs/>
        </w:rPr>
        <w:t xml:space="preserve">Justification</w:t>
      </w:r>
    </w:p>
    <w:p>
      <w:pPr/>
      <w:r>
        <w:rPr/>
        <w:t xml:space="preserve">Fournir un schéma</w:t>
      </w:r>
    </w:p>
    <w:p>
      <w:pPr>
        <w:ind w:left="1440" w:right="0"/>
      </w:pPr>
      <w:r>
        <w:rPr>
          <w:rStyle w:val="font_h3"/>
        </w:rPr>
        <w:t xml:space="preserve">4.6.2. Mise en œuvre sur éléments de charpente discontinus, supports de couverture</w:t>
      </w:r>
    </w:p>
    <w:p>
      <w:pPr>
        <w:ind w:left="2160" w:right="0"/>
      </w:pPr>
      <w:r>
        <w:rPr>
          <w:rStyle w:val="font_h3"/>
        </w:rPr>
        <w:t xml:space="preserve">4.6.2.1. Cas de travaux neufs</w:t>
      </w:r>
    </w:p>
    <w:p>
      <w:pPr/>
      <w:r>
        <w:rPr/>
        <w:t xml:space="preserve">Validé par le Groupe Spécialisé le 14/12/2021</w:t>
      </w:r>
    </w:p>
    <w:p>
      <w:pPr/>
      <w:r>
        <w:rPr>
          <w:b/>
          <w:bCs/>
        </w:rPr>
        <w:t xml:space="preserve">Description</w:t>
      </w:r>
    </w:p>
    <w:p>
      <w:pPr/>
      <w:r>
        <w:rPr/>
        <w:t xml:space="preserve">Décrire la méthode de pose :</w:t>
      </w:r>
    </w:p>
    <w:p>
      <w:pPr>
        <w:pPr/>
        <w:numPr>
          <w:ilvl w:val="0"/>
          <w:numId w:val="15"/>
        </w:numPr>
      </w:pPr>
      <w:r>
        <w:rPr/>
        <w:t xml:space="preserve">en contact direct avec l'isolantou</w:t>
      </w:r>
    </w:p>
    <w:p>
      <w:pPr>
        <w:pPr/>
        <w:numPr>
          <w:ilvl w:val="0"/>
          <w:numId w:val="15"/>
        </w:numPr>
      </w:pPr>
      <w:r>
        <w:rPr/>
        <w:t xml:space="preserve">sans contact direct avec l'isolant</w:t>
      </w:r>
    </w:p>
    <w:p>
      <w:pPr>
        <w:ind w:left="2160" w:right="0"/>
      </w:pPr>
      <w:r>
        <w:rPr>
          <w:rStyle w:val="font_h3"/>
        </w:rPr>
        <w:t xml:space="preserve">4.6.2.2. Cas de travaux de rénovation</w:t>
      </w:r>
    </w:p>
    <w:p>
      <w:pPr/>
      <w:r>
        <w:rPr/>
        <w:t xml:space="preserve">Validé par le Groupe Spécialisé le 14/12/2021</w:t>
      </w:r>
    </w:p>
    <w:p>
      <w:pPr/>
      <w:r>
        <w:rPr>
          <w:b/>
          <w:bCs/>
        </w:rPr>
        <w:t xml:space="preserve">Description</w:t>
      </w:r>
    </w:p>
    <w:p>
      <w:pPr/>
      <w:r>
        <w:rPr/>
        <w:t xml:space="preserve">Décrire la mise en oeuvre de l''isolation des parois (inclinées ou horizontales).</w:t>
      </w:r>
    </w:p>
    <w:p>
      <w:pPr>
        <w:ind w:left="1440" w:right="0"/>
      </w:pPr>
      <w:r>
        <w:rPr>
          <w:rStyle w:val="font_h3"/>
        </w:rPr>
        <w:t xml:space="preserve">4.6.3. Mise en œuvre sur éléments continus, supports de couverture, sous Avis technique ou DTA</w:t>
      </w:r>
    </w:p>
    <w:p>
      <w:pPr/>
      <w:r>
        <w:rPr/>
        <w:t xml:space="preserve">Validé par le Groupe Spécialisé le 14/12/2021</w:t>
      </w:r>
    </w:p>
    <w:p>
      <w:pPr/>
      <w:r>
        <w:rPr>
          <w:b/>
          <w:bCs/>
        </w:rPr>
        <w:t xml:space="preserve">Description</w:t>
      </w:r>
    </w:p>
    <w:p>
      <w:pPr/>
      <w:r>
        <w:rPr/>
        <w:t xml:space="preserve">Décrire la mise en oeuvre</w:t>
      </w:r>
    </w:p>
    <w:p>
      <w:pPr>
        <w:ind w:left="1440" w:right="0"/>
      </w:pPr>
      <w:r>
        <w:rPr>
          <w:rStyle w:val="font_h3"/>
        </w:rPr>
        <w:t xml:space="preserve">4.6.4. Recouvrement et traitement des abouts de lés</w:t>
      </w:r>
    </w:p>
    <w:p>
      <w:pPr>
        <w:ind w:left="2160" w:right="0"/>
      </w:pPr>
      <w:r>
        <w:rPr>
          <w:rStyle w:val="font_h3"/>
        </w:rPr>
        <w:t xml:space="preserve">4.6.4.1. Recouvrement</w:t>
      </w:r>
    </w:p>
    <w:p>
      <w:pPr/>
      <w:r>
        <w:rPr/>
        <w:t xml:space="preserve">Validé par le Groupe Spécialisé le 14/12/2021</w:t>
      </w:r>
    </w:p>
    <w:p>
      <w:pPr/>
      <w:r>
        <w:rPr>
          <w:b/>
          <w:bCs/>
        </w:rPr>
        <w:t xml:space="preserve">Description</w:t>
      </w:r>
    </w:p>
    <w:p>
      <w:pPr/>
      <w:r>
        <w:rPr/>
        <w:t xml:space="preserve">Décrire le recouvrement minimum des lés en fonction de la pente de la toiture.</w:t>
      </w:r>
    </w:p>
    <w:p>
      <w:pPr>
        <w:ind w:left="2160" w:right="0"/>
      </w:pPr>
      <w:r>
        <w:rPr>
          <w:rStyle w:val="font_h3"/>
        </w:rPr>
        <w:t xml:space="preserve">4.6.4.2. Abouts de lés</w:t>
      </w:r>
    </w:p>
    <w:p>
      <w:pPr/>
      <w:r>
        <w:rPr/>
        <w:t xml:space="preserve">Validé par le Groupe Spécialisé le 14/12/2021</w:t>
      </w:r>
    </w:p>
    <w:p>
      <w:pPr/>
      <w:r>
        <w:rPr>
          <w:b/>
          <w:bCs/>
        </w:rPr>
        <w:t xml:space="preserve">Description</w:t>
      </w:r>
    </w:p>
    <w:p>
      <w:pPr/>
      <w:r>
        <w:rPr/>
        <w:t xml:space="preserve">Décrire la jonction des abouts de lés.</w:t>
      </w:r>
    </w:p>
    <w:p>
      <w:pPr>
        <w:ind w:left="720" w:right="0"/>
      </w:pPr>
      <w:r>
        <w:rPr>
          <w:rStyle w:val="font_h2"/>
        </w:rPr>
        <w:t xml:space="preserve">4.7. Traitement des points singuliers</w:t>
      </w:r>
    </w:p>
    <w:p>
      <w:pPr>
        <w:ind w:left="1440" w:right="0"/>
      </w:pPr>
      <w:r>
        <w:rPr>
          <w:rStyle w:val="font_h3"/>
        </w:rPr>
        <w:t xml:space="preserve">4.7.1. Généralités</w:t>
      </w:r>
    </w:p>
    <w:p>
      <w:pPr/>
      <w:r>
        <w:rPr/>
        <w:t xml:space="preserve">Validé par le Groupe Spécialisé le 14/12/2021</w:t>
      </w:r>
    </w:p>
    <w:p>
      <w:pPr/>
      <w:r>
        <w:rPr>
          <w:b/>
          <w:bCs/>
        </w:rPr>
        <w:t xml:space="preserve">Description</w:t>
      </w:r>
    </w:p>
    <w:p>
      <w:pPr/>
      <w:r>
        <w:rPr/>
        <w:t xml:space="preserve">Détailler les dispositions de raccordement aux points singuliers décrites dans le NF DTU 40.29 adaptées à la pose tendue de l’écran sont applicables.</w:t>
      </w:r>
    </w:p>
    <w:p>
      <w:pPr/>
      <w:r>
        <w:rPr/>
        <w:t xml:space="preserve">Certaines dispositions peuvent être complétées et décrites notamment pour tenir compte de l’absence de ventilation de la lame d’air en sous-face et de l’accroissement de la ventilation de la lame d’air supérieure.</w:t>
      </w:r>
    </w:p>
    <w:p>
      <w:pPr>
        <w:ind w:left="1440" w:right="0"/>
      </w:pPr>
      <w:r>
        <w:rPr>
          <w:rStyle w:val="font_h3"/>
        </w:rPr>
        <w:t xml:space="preserve">4.7.2. Égout</w:t>
      </w:r>
    </w:p>
    <w:p>
      <w:pPr>
        <w:ind w:left="1440" w:right="0"/>
      </w:pPr>
      <w:r>
        <w:rPr>
          <w:rStyle w:val="font_h3"/>
        </w:rPr>
        <w:t xml:space="preserve">4.7.3. Rive latérale</w:t>
      </w:r>
    </w:p>
    <w:p>
      <w:pPr>
        <w:ind w:left="1440" w:right="0"/>
      </w:pPr>
      <w:r>
        <w:rPr>
          <w:rStyle w:val="font_h3"/>
        </w:rPr>
        <w:t xml:space="preserve">4.7.4. Faîtage et arêtier</w:t>
      </w:r>
    </w:p>
    <w:p>
      <w:pPr>
        <w:ind w:left="1440" w:right="0"/>
      </w:pPr>
      <w:r>
        <w:rPr>
          <w:rStyle w:val="font_h3"/>
        </w:rPr>
        <w:t xml:space="preserve">4.7.5. Raccordement aux fenêtres de toit</w:t>
      </w:r>
    </w:p>
    <w:p>
      <w:pPr>
        <w:ind w:left="1440" w:right="0"/>
      </w:pPr>
      <w:r>
        <w:rPr>
          <w:rStyle w:val="font_h3"/>
        </w:rPr>
        <w:t xml:space="preserve">4.7.6. Entourage de cheminée / Fenêtres de toit</w:t>
      </w:r>
    </w:p>
    <w:p>
      <w:pPr>
        <w:ind w:left="1440" w:right="0"/>
      </w:pPr>
      <w:r>
        <w:rPr>
          <w:rStyle w:val="font_h3"/>
        </w:rPr>
        <w:t xml:space="preserve">4.7.7. Sortie de conduit de ventilation</w:t>
      </w:r>
    </w:p>
    <w:p>
      <w:pPr>
        <w:ind w:left="1440" w:right="0"/>
      </w:pPr>
      <w:r>
        <w:rPr>
          <w:rStyle w:val="font_h3"/>
        </w:rPr>
        <w:t xml:space="preserve">4.7.8. Noue</w:t>
      </w:r>
    </w:p>
    <w:p>
      <w:pPr>
        <w:ind w:left="720" w:right="0"/>
      </w:pPr>
      <w:r>
        <w:rPr>
          <w:rStyle w:val="font_h2"/>
        </w:rPr>
        <w:t xml:space="preserve">4.8. Réparations ponctuelles</w:t>
      </w:r>
    </w:p>
    <w:p>
      <w:pPr/>
      <w:r>
        <w:rPr/>
        <w:t xml:space="preserve">Validé par le Groupe Spécialisé le 14/12/2021</w:t>
      </w:r>
    </w:p>
    <w:p>
      <w:pPr/>
      <w:r>
        <w:rPr>
          <w:b/>
          <w:bCs/>
        </w:rPr>
        <w:t xml:space="preserve">Description</w:t>
      </w:r>
    </w:p>
    <w:p>
      <w:pPr/>
      <w:r>
        <w:rPr/>
        <w:t xml:space="preserve">Donner une méthode de réparation.</w:t>
      </w:r>
    </w:p>
    <w:p>
      <w:pPr/>
      <w:r>
        <w:rPr>
          <w:rStyle w:val="font_h1"/>
        </w:rPr>
        <w:t xml:space="preserve">5. Ventilation</w:t>
      </w:r>
    </w:p>
    <w:p>
      <w:pPr>
        <w:ind w:left="720" w:right="0"/>
      </w:pPr>
      <w:r>
        <w:rPr>
          <w:rStyle w:val="font_h2"/>
        </w:rPr>
        <w:t xml:space="preserve">5.1. Épaisseurs des lames d'air</w:t>
      </w:r>
    </w:p>
    <w:p>
      <w:pPr>
        <w:ind w:left="720" w:right="0"/>
      </w:pPr>
      <w:r>
        <w:rPr>
          <w:rStyle w:val="font_h2"/>
        </w:rPr>
        <w:t xml:space="preserve">5.2. Ventilation de la couverture</w:t>
      </w:r>
    </w:p>
    <w:p>
      <w:pPr/>
      <w:r>
        <w:rPr>
          <w:rStyle w:val="font_h1"/>
        </w:rPr>
        <w:t xml:space="preserve">6. Travaux de rénovation</w:t>
      </w:r>
    </w:p>
    <w:p>
      <w:pPr/>
      <w:r>
        <w:rPr/>
        <w:t xml:space="preserve">Validé par le Groupe Spécialisé le 14/12/2021</w:t>
      </w:r>
    </w:p>
    <w:p>
      <w:pPr/>
      <w:r>
        <w:rPr>
          <w:b/>
          <w:bCs/>
        </w:rPr>
        <w:t xml:space="preserve">Description</w:t>
      </w:r>
    </w:p>
    <w:p>
      <w:pPr/>
      <w:r>
        <w:rPr/>
        <w:t xml:space="preserve">Les travaux de rénovation doivent être conformes aux préconisations du § 4 du Cahier du CSTB 3560 V.2</w:t>
      </w:r>
    </w:p>
    <w:p>
      <w:pPr/>
      <w:r>
        <w:rPr>
          <w:rStyle w:val="font_h1"/>
        </w:rPr>
        <w:t xml:space="preserve">7. Entretien</w:t>
      </w:r>
    </w:p>
    <w:p>
      <w:pPr/>
      <w:r>
        <w:rPr/>
        <w:t xml:space="preserve">Validé par le Groupe Spécialisé le 14/12/2021</w:t>
      </w:r>
    </w:p>
    <w:p>
      <w:pPr/>
      <w:r>
        <w:rPr>
          <w:b/>
          <w:bCs/>
        </w:rPr>
        <w:t xml:space="preserve">Description</w:t>
      </w:r>
    </w:p>
    <w:p>
      <w:pPr/>
      <w:r>
        <w:rPr/>
        <w:t xml:space="preserve">Les conditions d’entretien doivent être conformes et sont celles décrites au chapitre 4 du Cahier des Prescriptions Techniques - NF DTU 40.29.</w:t>
      </w:r>
    </w:p>
    <w:p>
      <w:pPr/>
      <w:r>
        <w:rPr>
          <w:rStyle w:val="font_h1"/>
        </w:rPr>
        <w:t xml:space="preserve">8. Distribution et assistance technique</w:t>
      </w:r>
    </w:p>
    <w:p>
      <w:pPr>
        <w:ind w:left="720" w:right="0"/>
      </w:pPr>
      <w:r>
        <w:rPr>
          <w:rStyle w:val="font_h2"/>
        </w:rPr>
        <w:t xml:space="preserve">8.1. Distribution et service après-vente</w:t>
      </w:r>
    </w:p>
    <w:p>
      <w:pPr>
        <w:ind w:left="720" w:right="0"/>
      </w:pPr>
      <w:r>
        <w:rPr>
          <w:rStyle w:val="font_h2"/>
        </w:rPr>
        <w:t xml:space="preserve">8.2. Assistance technique</w:t>
      </w:r>
    </w:p>
    <w:sectPr>
      <w:headerReference w:type="default" r:id="rId14"/>
      <w:footerReference w:type="default" r:id="rId15"/>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BA9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3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1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79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447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8C1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F3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www.declaration-environnementale.gouv.fr/" TargetMode="External"/><Relationship Id="rId14" Type="http://schemas.openxmlformats.org/officeDocument/2006/relationships/header" Target="header1.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2026-05-26T08:45:57+02:00</dcterms:created>
  <dcterms:modified xsi:type="dcterms:W3CDTF">2026-05-26T08:45:57+02:00</dcterms:modified>
</cp:coreProperties>
</file>

<file path=docProps/custom.xml><?xml version="1.0" encoding="utf-8"?>
<Properties xmlns="http://schemas.openxmlformats.org/officeDocument/2006/custom-properties" xmlns:vt="http://schemas.openxmlformats.org/officeDocument/2006/docPropsVTypes"/>
</file>