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3.1 - Édité le 04/10/2026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3.1 « Planchers et accessoires de plancher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Plancher béton coulé en place avec élégissement</w:t>
      </w:r>
    </w:p>
    <w:p>
      <w:pPr/>
      <w:r>
        <w:rPr>
          <w:rStyle w:val="font_h1"/>
        </w:rPr>
        <w:t xml:space="preserve">1. Description</w:t>
      </w:r>
    </w:p>
    <w:p>
      <w:pPr>
        <w:ind w:left="720" w:right="0"/>
      </w:pPr>
      <w:r>
        <w:rPr>
          <w:rStyle w:val="font_h2"/>
        </w:rPr>
        <w:t xml:space="preserve">1.1. Principe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plancher formé par l’assemblage des composants (type de dalles, largeur de nervures, hauteur minimum et maximum, etc.).</w:t>
      </w:r>
    </w:p>
    <w:p>
      <w:pPr/>
      <w:r>
        <w:rPr/>
        <w:t xml:space="preserve">Identifier les supports visés.</w:t>
      </w:r>
    </w:p>
    <w:p>
      <w:pPr/>
      <w:r>
        <w:rPr/>
        <w:t xml:space="preserve">Expliciter le caractère non traditionnel du procédé.</w:t>
      </w:r>
    </w:p>
    <w:p>
      <w:pPr>
        <w:ind w:left="720" w:right="0"/>
      </w:pPr>
      <w:r>
        <w:rPr>
          <w:rStyle w:val="font_h2"/>
        </w:rPr>
        <w:t xml:space="preserve">1.2. Description des composants</w:t>
      </w:r>
    </w:p>
    <w:p>
      <w:pPr>
        <w:ind w:left="1440" w:right="0"/>
      </w:pPr>
      <w:r>
        <w:rPr>
          <w:rStyle w:val="font_h3"/>
        </w:rPr>
        <w:t xml:space="preserve">1.2.1. Eléments d'élégissement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produits d’élégissement (matériaux, dimensions et tolérances, classement de réaction au feu, etc.).</w:t>
      </w:r>
    </w:p>
    <w:p>
      <w:pPr/>
      <w:r>
        <w:rPr/>
        <w:t xml:space="preserve">Le GS n°20 sera consulté dans les cas où le matériau d'élégissement est un matériau biosourcé.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Schémas cotés des produits.</w:t>
      </w:r>
    </w:p>
    <w:p>
      <w:pPr/>
      <w:r>
        <w:rPr/>
        <w:t xml:space="preserve">Le risque de développement fongique du matériau biosourcé sera évalué en tenant compte de l'usage du matériau d'élégissement pouvant être spécifique au procédé.</w:t>
      </w:r>
    </w:p>
    <w:p>
      <w:pPr>
        <w:ind w:left="1440" w:right="0"/>
      </w:pPr>
      <w:r>
        <w:rPr>
          <w:rStyle w:val="font_h3"/>
        </w:rPr>
        <w:t xml:space="preserve">1.2.2. Eléments spéciaux d’élégissement (le cas échéant)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accessoires éventuels pour le traitement de points singuliers notamment :</w:t>
      </w:r>
    </w:p>
    <w:p>
      <w:pPr>
        <w:pPr/>
        <w:numPr>
          <w:ilvl w:val="0"/>
          <w:numId w:val="9"/>
        </w:numPr>
      </w:pPr>
      <w:r>
        <w:rPr/>
        <w:t xml:space="preserve">Réservations ;</w:t>
      </w:r>
    </w:p>
    <w:p>
      <w:pPr>
        <w:pPr/>
        <w:numPr>
          <w:ilvl w:val="0"/>
          <w:numId w:val="9"/>
        </w:numPr>
      </w:pPr>
      <w:r>
        <w:rPr/>
        <w:t xml:space="preserve">Dalles biaises ;</w:t>
      </w:r>
    </w:p>
    <w:p>
      <w:pPr>
        <w:pPr/>
        <w:numPr>
          <w:ilvl w:val="0"/>
          <w:numId w:val="9"/>
        </w:numPr>
      </w:pPr>
      <w:r>
        <w:rPr/>
        <w:t xml:space="preserve">Membrures surépaissies.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Schémas cotés illustrant les cas limites.</w:t>
      </w:r>
    </w:p>
    <w:p>
      <w:pPr>
        <w:ind w:left="1440" w:right="0"/>
      </w:pPr>
      <w:r>
        <w:rPr>
          <w:rStyle w:val="font_h3"/>
        </w:rPr>
        <w:t xml:space="preserve">1.2.3. Matériaux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Pour le béton, préciser la nature du ciment et justifier la conformité à la norme NF EN 206+A2/CN.</w:t>
      </w:r>
    </w:p>
    <w:p>
      <w:pPr/>
      <w:r>
        <w:rPr/>
        <w:t xml:space="preserve">Tous les aciers sont certifiés NF par l’AFCAB ou équivalent et conformes à la norme NF EN 10080. Préciser la classe et la nuance d'acier.</w:t>
      </w:r>
    </w:p>
    <w:p>
      <w:pPr>
        <w:ind w:left="1440" w:right="0"/>
      </w:pPr>
      <w:r>
        <w:rPr>
          <w:rStyle w:val="font_h3"/>
        </w:rPr>
        <w:t xml:space="preserve">1.2.4. Identification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la méthode d'identification et de marquage des produits.</w:t>
      </w:r>
    </w:p>
    <w:p>
      <w:pPr/>
      <w:r>
        <w:rPr/>
        <w:t xml:space="preserve">Préciser la codification de la désignation des produits.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produire un exemple d'étiquette.</w:t>
      </w:r>
    </w:p>
    <w:p>
      <w:pPr/>
      <w:r>
        <w:rPr>
          <w:rStyle w:val="font_h1"/>
        </w:rPr>
        <w:t xml:space="preserve">2. Domaine d'emploi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domaine d'emploi visé :</w:t>
      </w:r>
    </w:p>
    <w:p>
      <w:pPr>
        <w:pPr/>
        <w:numPr>
          <w:ilvl w:val="0"/>
          <w:numId w:val="10"/>
        </w:numPr>
      </w:pPr>
      <w:r>
        <w:rPr/>
        <w:t xml:space="preserve">Types d’ouvrages (localisation du plancher et nature du bâtiment) ; </w:t>
      </w:r>
    </w:p>
    <w:p>
      <w:pPr>
        <w:pPr/>
        <w:numPr>
          <w:ilvl w:val="0"/>
          <w:numId w:val="10"/>
        </w:numPr>
      </w:pPr>
      <w:r>
        <w:rPr/>
        <w:t xml:space="preserve">Fonction principale (plancher intermédiaire, sur vide-sanitaire, support d'étanchéité, support de couverture) ;</w:t>
      </w:r>
    </w:p>
    <w:p>
      <w:pPr>
        <w:pPr/>
        <w:numPr>
          <w:ilvl w:val="0"/>
          <w:numId w:val="10"/>
        </w:numPr>
      </w:pPr>
      <w:r>
        <w:rPr/>
        <w:t xml:space="preserve">Fonctionnement global de la structure, liaisons entre élément ;</w:t>
      </w:r>
    </w:p>
    <w:p>
      <w:pPr>
        <w:pPr/>
        <w:numPr>
          <w:ilvl w:val="0"/>
          <w:numId w:val="10"/>
        </w:numPr>
      </w:pPr>
      <w:r>
        <w:rPr/>
        <w:t xml:space="preserve">Types de sollicitations (statiques, dynamiques, fatigue, chocs, etc.) ;</w:t>
      </w:r>
    </w:p>
    <w:p>
      <w:pPr>
        <w:pPr/>
        <w:numPr>
          <w:ilvl w:val="0"/>
          <w:numId w:val="10"/>
        </w:numPr>
      </w:pPr>
      <w:r>
        <w:rPr/>
        <w:t xml:space="preserve">Conditions environnementales (classes d’exposition, atmosphères agressives, etc.) ;</w:t>
      </w:r>
    </w:p>
    <w:p>
      <w:pPr>
        <w:pPr/>
        <w:numPr>
          <w:ilvl w:val="0"/>
          <w:numId w:val="10"/>
        </w:numPr>
      </w:pPr>
      <w:r>
        <w:rPr/>
        <w:t xml:space="preserve">Zones géographiques ;</w:t>
      </w:r>
    </w:p>
    <w:p>
      <w:pPr>
        <w:pPr/>
        <w:numPr>
          <w:ilvl w:val="0"/>
          <w:numId w:val="10"/>
        </w:numPr>
      </w:pPr>
      <w:r>
        <w:rPr/>
        <w:t xml:space="preserve">Zones sismiques et catégories d’importance de bâtiments ;</w:t>
      </w:r>
    </w:p>
    <w:p>
      <w:pPr>
        <w:pPr/>
        <w:numPr>
          <w:ilvl w:val="0"/>
          <w:numId w:val="10"/>
        </w:numPr>
      </w:pPr>
      <w:r>
        <w:rPr/>
        <w:t xml:space="preserve">Utilisation revendiquée dans les DROM-PTOM.</w:t>
      </w:r>
    </w:p>
    <w:p>
      <w:pPr/>
      <w:r>
        <w:rPr>
          <w:rStyle w:val="font_h1"/>
        </w:rPr>
        <w:t xml:space="preserve">4. Conception</w:t>
      </w:r>
    </w:p>
    <w:p>
      <w:pPr>
        <w:ind w:left="720" w:right="0"/>
      </w:pPr>
      <w:r>
        <w:rPr>
          <w:rStyle w:val="font_h2"/>
        </w:rPr>
        <w:t xml:space="preserve">4.1. Dimensionnement en situation normale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règles de conception du plancher, y compris les règles pour les points singuliers (ouvertures, biais, disposition en rives, etc.) et les porte-à-faux s’ils sont visés. </w:t>
      </w:r>
    </w:p>
    <w:p>
      <w:pPr/>
      <w:r>
        <w:rPr/>
        <w:t xml:space="preserve">Détailler les supports visés (appuis de rives et appuis intermédiaires).</w:t>
      </w:r>
    </w:p>
    <w:p>
      <w:pPr/>
      <w:r>
        <w:rPr/>
        <w:t xml:space="preserve">A minima, détailler les données et éléments d'information à fournir par l’entreprise au titulaire pour réaliser le dimensionnement du plancher, si ce dernier réalise la conception.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Exemple de notes de calcul :</w:t>
      </w:r>
    </w:p>
    <w:p>
      <w:pPr>
        <w:pPr/>
        <w:numPr>
          <w:ilvl w:val="0"/>
          <w:numId w:val="11"/>
        </w:numPr>
      </w:pPr>
      <w:r>
        <w:rPr/>
        <w:t xml:space="preserve">Dimensionnement du plancher en phase définitive et en phase provisoire ;</w:t>
      </w:r>
    </w:p>
    <w:p>
      <w:pPr>
        <w:pPr/>
        <w:numPr>
          <w:ilvl w:val="0"/>
          <w:numId w:val="11"/>
        </w:numPr>
      </w:pPr>
      <w:r>
        <w:rPr/>
        <w:t xml:space="preserve">Vérification des points singuliers ;</w:t>
      </w:r>
    </w:p>
    <w:p>
      <w:pPr>
        <w:pPr/>
        <w:numPr>
          <w:ilvl w:val="0"/>
          <w:numId w:val="11"/>
        </w:numPr>
      </w:pPr>
      <w:r>
        <w:rPr/>
        <w:t xml:space="preserve">Vérification des conditions d’appui en fonction du support.</w:t>
      </w:r>
    </w:p>
    <w:p>
      <w:pPr/>
      <w:r>
        <w:rPr/>
        <w:t xml:space="preserve">Schémas et dispositions particulières.</w:t>
      </w:r>
    </w:p>
    <w:p>
      <w:pPr>
        <w:ind w:left="720" w:right="0"/>
      </w:pPr>
      <w:r>
        <w:rPr>
          <w:rStyle w:val="font_h2"/>
        </w:rPr>
        <w:t xml:space="preserve">4.2. Utilisation en zone sismique (le cas échéant)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dispositions à considérer lorsque des exigences sismiques sont applicables aux ouvrages visés.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Exemple de note de calcul.</w:t>
      </w:r>
    </w:p>
    <w:p>
      <w:pPr>
        <w:ind w:left="720" w:right="0"/>
      </w:pPr>
      <w:r>
        <w:rPr>
          <w:rStyle w:val="font_h2"/>
        </w:rPr>
        <w:t xml:space="preserve">4.3. Résistance au feu (le cas échéant)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modalités de prise en compte du risque d'incendie.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Si la norme NF EN 1992-1-2 n'est pas applicable, une Appréciation de Laboratoire de résistance au feu sera requise.</w:t>
      </w:r>
    </w:p>
    <w:p>
      <w:pPr/>
      <w:r>
        <w:rPr/>
        <w:t xml:space="preserve">L'Appréciation de Laboratoire de résistance au feu doit être accompagnée d’un exemple de note de calcul.</w:t>
      </w:r>
    </w:p>
    <w:p>
      <w:pPr>
        <w:ind w:left="720" w:right="0"/>
      </w:pPr>
      <w:r>
        <w:rPr>
          <w:rStyle w:val="font_h2"/>
        </w:rPr>
        <w:t xml:space="preserve">4.4. Trémies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solutions retenues pour le traitement des trémies et des réservations.</w:t>
      </w:r>
    </w:p>
    <w:p>
      <w:pPr>
        <w:ind w:left="720" w:right="0"/>
      </w:pPr>
      <w:r>
        <w:rPr>
          <w:rStyle w:val="font_h2"/>
        </w:rPr>
        <w:t xml:space="preserve">4.5. Porte-à-faux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solutions retenues pour le traitement des porte-à-faux.</w:t>
      </w:r>
    </w:p>
    <w:p>
      <w:pPr/>
      <w:r>
        <w:rPr>
          <w:rStyle w:val="font_h1"/>
        </w:rPr>
        <w:t xml:space="preserve">5. Description de la mise en œuvre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 mode opératoire du procédé et ses préciser ses spécificités.</w:t>
      </w:r>
    </w:p>
    <w:p>
      <w:pPr/>
      <w:r>
        <w:rPr/>
        <w:t xml:space="preserve">Lister les documents à transmettre à l’entreprise chargée de la mise en œuvre du procédé : </w:t>
      </w:r>
    </w:p>
    <w:p>
      <w:pPr>
        <w:pPr/>
        <w:numPr>
          <w:ilvl w:val="0"/>
          <w:numId w:val="12"/>
        </w:numPr>
      </w:pPr>
      <w:r>
        <w:rPr/>
        <w:t xml:space="preserve">Notice de pose ;</w:t>
      </w:r>
    </w:p>
    <w:p>
      <w:pPr>
        <w:pPr/>
        <w:numPr>
          <w:ilvl w:val="0"/>
          <w:numId w:val="12"/>
        </w:numPr>
      </w:pPr>
      <w:r>
        <w:rPr/>
        <w:t xml:space="preserve">Plan de pose ;</w:t>
      </w:r>
    </w:p>
    <w:p>
      <w:pPr>
        <w:pPr/>
        <w:numPr>
          <w:ilvl w:val="0"/>
          <w:numId w:val="12"/>
        </w:numPr>
      </w:pPr>
      <w:r>
        <w:rPr/>
        <w:t xml:space="preserve">PAQ mise en œuvre ;</w:t>
      </w:r>
    </w:p>
    <w:p>
      <w:pPr>
        <w:pPr/>
        <w:numPr>
          <w:ilvl w:val="0"/>
          <w:numId w:val="12"/>
        </w:numPr>
      </w:pPr>
      <w:r>
        <w:rPr/>
        <w:t xml:space="preserve">Autres documents éventuels.</w:t>
      </w:r>
    </w:p>
    <w:p>
      <w:pPr/>
      <w:r>
        <w:rPr/>
        <w:t xml:space="preserve">Préciser les dispositions adoptées pour veiller au respect des exigences de planéité des supports conformément à la norme NF DTU 21.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Exemple de plan de pose.</w:t>
      </w:r>
    </w:p>
    <w:p>
      <w:pPr/>
      <w:r>
        <w:rPr/>
        <w:t xml:space="preserve">Notice de pose.</w:t>
      </w:r>
    </w:p>
    <w:p>
      <w:pPr/>
      <w:r>
        <w:rPr/>
        <w:t xml:space="preserve">Exemple de fiche d’auto-contrôle éventuelle.</w:t>
      </w:r>
    </w:p>
    <w:p>
      <w:pPr/>
      <w:r>
        <w:rPr>
          <w:rStyle w:val="font_h1"/>
        </w:rPr>
        <w:t xml:space="preserve">6. Traitement en fin de vie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Justification des performances environnementales (caractérisation de la performance intrinsèque du système). </w:t>
      </w:r>
    </w:p>
    <w:p>
      <w:pPr/>
      <w:r>
        <w:rPr/>
        <w:t xml:space="preserve">Déclaration environnementale (FDES).</w:t>
      </w:r>
    </w:p>
    <w:p>
      <w:pPr/>
      <w:r>
        <w:rPr>
          <w:rStyle w:val="font_h1"/>
        </w:rPr>
        <w:t xml:space="preserve">7. Conditions d'exploitation et assistance technique</w:t>
      </w:r>
    </w:p>
    <w:p>
      <w:pPr>
        <w:ind w:left="720" w:right="0"/>
      </w:pPr>
      <w:r>
        <w:rPr>
          <w:rStyle w:val="font_h2"/>
        </w:rPr>
        <w:t xml:space="preserve">7.1. Rôle des intervenants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 rôle du titulaire, du potentiel bureau d’étude externe et de l’entreprise.</w:t>
      </w:r>
    </w:p>
    <w:p>
      <w:pPr>
        <w:ind w:left="720" w:right="0"/>
      </w:pPr>
      <w:r>
        <w:rPr>
          <w:rStyle w:val="font_h2"/>
        </w:rPr>
        <w:t xml:space="preserve">7.2. Assistance technique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la documentation fournie par le titulaire aux différents intervenants.</w:t>
      </w:r>
    </w:p>
    <w:p>
      <w:pPr/>
      <w:r>
        <w:rPr/>
        <w:t xml:space="preserve">Préciser si une formation est nécessaire pour garantir la bonne mise en œuvre du procédé.</w:t>
      </w:r>
    </w:p>
    <w:p>
      <w:pPr/>
      <w:r>
        <w:rPr>
          <w:rStyle w:val="font_h1"/>
        </w:rPr>
        <w:t xml:space="preserve">8. Fabrication et contrôles</w:t>
      </w:r>
    </w:p>
    <w:p>
      <w:pPr>
        <w:ind w:left="720" w:right="0"/>
      </w:pPr>
      <w:r>
        <w:rPr>
          <w:rStyle w:val="font_h2"/>
        </w:rPr>
        <w:t xml:space="preserve">8.1. Fabrication des produits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la fabrication des produits d’élégissement et les contrôles associés.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Visite d’usine.</w:t>
      </w:r>
    </w:p>
    <w:p>
      <w:pPr>
        <w:ind w:left="720" w:right="0"/>
      </w:pPr>
      <w:r>
        <w:rPr>
          <w:rStyle w:val="font_h2"/>
        </w:rPr>
        <w:t xml:space="preserve">8.2. Contrôles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modalités de contrôle interne et le suivi par tierce partie le cas échéant. </w:t>
      </w:r>
    </w:p>
    <w:p>
      <w:pPr/>
      <w:r>
        <w:rPr/>
        <w:t xml:space="preserve">Si une certification de produit est prévue, préciser les produits soumis au plan de contrôle interne prévu par le référentiel de la certification.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Plan d’assurance qualité (PAQ) de la fabrication et registres de contrôles.</w:t>
      </w:r>
    </w:p>
    <w:p>
      <w:pPr/>
      <w:r>
        <w:rPr/>
        <w:t xml:space="preserve">Certificat le cas échéant.</w:t>
      </w:r>
    </w:p>
    <w:p>
      <w:pPr/>
      <w:r>
        <w:rPr/>
        <w:t xml:space="preserve">Identification des sites de fabrication.</w:t>
      </w:r>
    </w:p>
    <w:p>
      <w:pPr/>
      <w:r>
        <w:rPr>
          <w:rStyle w:val="font_h1"/>
        </w:rPr>
        <w:t xml:space="preserve">9. Finitions</w:t>
      </w:r>
    </w:p>
    <w:p>
      <w:pPr>
        <w:ind w:left="720" w:right="0"/>
      </w:pPr>
      <w:r>
        <w:rPr>
          <w:rStyle w:val="font_h2"/>
        </w:rPr>
        <w:t xml:space="preserve">9.1. Sols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Détailler les finitions admises et préciser les limites de flèche ainsi que le traitement de la continuité des planchers.</w:t>
      </w:r>
    </w:p>
    <w:p>
      <w:pPr>
        <w:ind w:left="720" w:right="0"/>
      </w:pPr>
      <w:r>
        <w:rPr>
          <w:rStyle w:val="font_h2"/>
        </w:rPr>
        <w:t xml:space="preserve">9.2. Plafonds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les finitions admises en sous-face et préciser les possibilités de fixation en sous-face.</w:t>
      </w:r>
    </w:p>
    <w:p>
      <w:pPr/>
      <w:r>
        <w:rPr>
          <w:rStyle w:val="font_h1"/>
        </w:rPr>
        <w:t xml:space="preserve">10. Cas des toitures terrasses (le cas échéant)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Lister les destinations visées lorsque les éléments de planchers peuvent être utilisés comme éléments porteurs de toiture et support de l’étanchéité pour les destinations suivantes. </w:t>
      </w:r>
    </w:p>
    <w:p>
      <w:pPr/>
      <w:r>
        <w:rPr/>
        <w:t xml:space="preserve">Préciser :  </w:t>
      </w:r>
    </w:p>
    <w:p>
      <w:pPr>
        <w:pPr/>
        <w:numPr>
          <w:ilvl w:val="0"/>
          <w:numId w:val="13"/>
        </w:numPr>
      </w:pPr>
      <w:r>
        <w:rPr/>
        <w:t xml:space="preserve">Traitements d'étanchéité ;  </w:t>
      </w:r>
    </w:p>
    <w:p>
      <w:pPr>
        <w:pPr/>
        <w:numPr>
          <w:ilvl w:val="0"/>
          <w:numId w:val="13"/>
        </w:numPr>
      </w:pPr>
      <w:r>
        <w:rPr/>
        <w:t xml:space="preserve">Les dispositifs de collecte et d’évacuation des eaux pluviales et les pénétrations ;  </w:t>
      </w:r>
    </w:p>
    <w:p>
      <w:pPr>
        <w:pPr/>
        <w:numPr>
          <w:ilvl w:val="0"/>
          <w:numId w:val="13"/>
        </w:numPr>
      </w:pPr>
      <w:r>
        <w:rPr/>
        <w:t xml:space="preserve">Traitement des zones d'appuis et de joints ;  </w:t>
      </w:r>
    </w:p>
    <w:p>
      <w:pPr>
        <w:pPr/>
        <w:numPr>
          <w:ilvl w:val="0"/>
          <w:numId w:val="13"/>
        </w:numPr>
      </w:pPr>
      <w:r>
        <w:rPr/>
        <w:t xml:space="preserve">Traitement des points singuliers (reliefs, retombées, chéneaux, joints de dilatation, évacuations, pénétrations, etc.).</w:t>
      </w:r>
    </w:p>
    <w:p>
      <w:pPr/>
      <w:r>
        <w:rPr/>
        <w:t xml:space="preserve">Lorsqu'elle est nécessaire, une consultation du GS n°5.2 sera réalisée.</w:t>
      </w:r>
    </w:p>
    <w:p>
      <w:pPr/>
      <w:r>
        <w:rPr>
          <w:rStyle w:val="font_h1"/>
        </w:rPr>
        <w:t xml:space="preserve">11. Acoustique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Justification des performances acoustiques (caractérisation de la performance acoustique intrinsèque du système (niveau de bruit d’impact, indice d’affaiblissement acoustique).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Essais.</w:t>
      </w:r>
    </w:p>
    <w:p>
      <w:pPr/>
      <w:r>
        <w:rPr>
          <w:rStyle w:val="font_h1"/>
        </w:rPr>
        <w:t xml:space="preserve">11. Références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Fourniture d’une liste de référence pour la réalisation d’une enquête chantier. Les références doivent être représentatives du domaine d’emploi revendiqué. </w:t>
      </w:r>
    </w:p>
    <w:p>
      <w:pPr/>
      <w:r>
        <w:rPr/>
        <w:t xml:space="preserve">Préciser pour chaque référence :</w:t>
      </w:r>
    </w:p>
    <w:p>
      <w:pPr>
        <w:pPr/>
        <w:numPr>
          <w:ilvl w:val="0"/>
          <w:numId w:val="14"/>
        </w:numPr>
      </w:pPr>
      <w:r>
        <w:rPr/>
        <w:t xml:space="preserve">Date mise en œuvre ;</w:t>
      </w:r>
    </w:p>
    <w:p>
      <w:pPr>
        <w:pPr/>
        <w:numPr>
          <w:ilvl w:val="0"/>
          <w:numId w:val="14"/>
        </w:numPr>
      </w:pPr>
      <w:r>
        <w:rPr/>
        <w:t xml:space="preserve">Date réception ;</w:t>
      </w:r>
    </w:p>
    <w:p>
      <w:pPr>
        <w:pPr/>
        <w:numPr>
          <w:ilvl w:val="0"/>
          <w:numId w:val="14"/>
        </w:numPr>
      </w:pPr>
      <w:r>
        <w:rPr/>
        <w:t xml:space="preserve">Lieu ;</w:t>
      </w:r>
    </w:p>
    <w:p>
      <w:pPr>
        <w:pPr/>
        <w:numPr>
          <w:ilvl w:val="0"/>
          <w:numId w:val="14"/>
        </w:numPr>
      </w:pPr>
      <w:r>
        <w:rPr/>
        <w:t xml:space="preserve">Maître d'Ouvrage (nom+coord.) ;</w:t>
      </w:r>
    </w:p>
    <w:p>
      <w:pPr>
        <w:pPr/>
        <w:numPr>
          <w:ilvl w:val="0"/>
          <w:numId w:val="14"/>
        </w:numPr>
      </w:pPr>
      <w:r>
        <w:rPr/>
        <w:t xml:space="preserve">Maître d'Œuvre (nom+coord.) ;</w:t>
      </w:r>
    </w:p>
    <w:p>
      <w:pPr>
        <w:pPr/>
        <w:numPr>
          <w:ilvl w:val="0"/>
          <w:numId w:val="14"/>
        </w:numPr>
      </w:pPr>
      <w:r>
        <w:rPr/>
        <w:t xml:space="preserve">Entreprise (nom+coord.) ;</w:t>
      </w:r>
    </w:p>
    <w:p>
      <w:pPr>
        <w:pPr/>
        <w:numPr>
          <w:ilvl w:val="0"/>
          <w:numId w:val="14"/>
        </w:numPr>
      </w:pPr>
      <w:r>
        <w:rPr/>
        <w:t xml:space="preserve">Contrôleur technique (nom+coord.) ;</w:t>
      </w:r>
    </w:p>
    <w:p>
      <w:pPr>
        <w:pPr/>
        <w:numPr>
          <w:ilvl w:val="0"/>
          <w:numId w:val="14"/>
        </w:numPr>
      </w:pPr>
      <w:r>
        <w:rPr/>
        <w:t xml:space="preserve">Rôle du titulaire (fabricant, poseur, etc.) ;</w:t>
      </w:r>
    </w:p>
    <w:p>
      <w:pPr>
        <w:pPr/>
        <w:numPr>
          <w:ilvl w:val="0"/>
          <w:numId w:val="14"/>
        </w:numPr>
      </w:pPr>
      <w:r>
        <w:rPr/>
        <w:t xml:space="preserve">Type de bâtiment/ouvrage (nb niveaux, super et/ou infra) ;</w:t>
      </w:r>
    </w:p>
    <w:p>
      <w:pPr>
        <w:pPr/>
        <w:numPr>
          <w:ilvl w:val="0"/>
          <w:numId w:val="14"/>
        </w:numPr>
      </w:pPr>
      <w:r>
        <w:rPr/>
        <w:t xml:space="preserve">Surface/quantité mise en œuvre ;</w:t>
      </w:r>
    </w:p>
    <w:p>
      <w:pPr>
        <w:pPr/>
        <w:numPr>
          <w:ilvl w:val="0"/>
          <w:numId w:val="14"/>
        </w:numPr>
      </w:pPr>
      <w:r>
        <w:rPr/>
        <w:t xml:space="preserve">Particularités (type de produit, gamme, etc.) ;</w:t>
      </w:r>
    </w:p>
    <w:p>
      <w:pPr>
        <w:pPr/>
        <w:numPr>
          <w:ilvl w:val="0"/>
          <w:numId w:val="14"/>
        </w:numPr>
      </w:pPr>
      <w:r>
        <w:rPr/>
        <w:t xml:space="preserve">Désordres éventuels/difficultés particulières.</w:t>
      </w:r>
    </w:p>
    <w:p>
      <w:pPr/>
      <w:r>
        <w:rPr>
          <w:rStyle w:val="font_h1"/>
        </w:rPr>
        <w:t xml:space="preserve">12. Schémas du Dossier Technique</w:t>
      </w:r>
    </w:p>
    <w:p>
      <w:pPr/>
      <w:r>
        <w:rPr/>
        <w:t xml:space="preserve">Validé par le Groupe Spécialisé le 29/01/2026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Géométrie des éléments ;Coupe sur éléments et section béton ;Coupes sur appuis ;Principe de mise en œuvre d'un plancher ;Principe de ferraillage d'un plancher.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38C11C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5B8A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CA99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BC6B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EAAB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12B7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2026-10-04T23:31:00+02:00</dcterms:created>
  <dcterms:modified xsi:type="dcterms:W3CDTF">2026-10-04T23:31:00+02:00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