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3.1 - Édité le 07/05/2026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3.1 « Planchers et accessoires de plancher »</w:t>
      </w:r>
    </w:p>
    <w:p>
      <w:pPr/>
      <w:r>
        <w:rPr>
          <w:rStyle w:val="font_default"/>
        </w:rPr>
        <w:t xml:space="preserve">Famille de produits ou procédés : </w:t>
      </w:r>
      <w:r>
        <w:rPr>
          <w:rStyle w:val="font_h3"/>
        </w:rPr>
        <w:t xml:space="preserve">Plancher préfabriqué nervuré en béton</w:t>
      </w:r>
    </w:p>
    <w:p>
      <w:pPr/>
      <w:r>
        <w:rPr>
          <w:rStyle w:val="font_h1"/>
        </w:rPr>
        <w:t xml:space="preserve">1. Principe et domaine d’emploi proposé</w:t>
      </w:r>
    </w:p>
    <w:p>
      <w:pPr/>
      <w:r>
        <w:rPr/>
        <w:t xml:space="preserve">Validé par le Groupe Spécialisé le 08/10/2019</w:t>
      </w:r>
    </w:p>
    <w:p>
      <w:pPr/>
      <w:r>
        <w:rPr>
          <w:b/>
          <w:bCs/>
        </w:rPr>
        <w:t xml:space="preserve">Description</w:t>
      </w:r>
    </w:p>
    <w:p>
      <w:pPr/>
      <w:r>
        <w:rPr/>
        <w:t xml:space="preserve">Décrire succinctement les éléments de plancher du système constructif (pannes, poutres, dalles nervurées, etc.) :</w:t>
      </w:r>
    </w:p>
    <w:p>
      <w:pPr>
        <w:pPr/>
        <w:numPr>
          <w:ilvl w:val="0"/>
          <w:numId w:val="9"/>
        </w:numPr>
      </w:pPr>
      <w:r>
        <w:rPr/>
        <w:t xml:space="preserve">Dimensions</w:t>
      </w:r>
    </w:p>
    <w:p>
      <w:pPr>
        <w:pPr/>
        <w:numPr>
          <w:ilvl w:val="0"/>
          <w:numId w:val="9"/>
        </w:numPr>
      </w:pPr>
      <w:r>
        <w:rPr/>
        <w:t xml:space="preserve">Matériau constitutifs (béton armé ou béton précontraint)</w:t>
      </w:r>
    </w:p>
    <w:p>
      <w:pPr>
        <w:pPr/>
        <w:numPr>
          <w:ilvl w:val="0"/>
          <w:numId w:val="9"/>
        </w:numPr>
      </w:pPr>
      <w:r>
        <w:rPr/>
        <w:t xml:space="preserve">Fonction principale (plancher intermédiaire, plancher support d'étanchéité, plancher support de couverture)</w:t>
      </w:r>
    </w:p>
    <w:p>
      <w:pPr>
        <w:pPr/>
        <w:numPr>
          <w:ilvl w:val="0"/>
          <w:numId w:val="9"/>
        </w:numPr>
      </w:pPr>
      <w:r>
        <w:rPr/>
        <w:t xml:space="preserve">Fonctionnement global de la structure, liaisons entre éléments</w:t>
      </w:r>
    </w:p>
    <w:p>
      <w:pPr/>
      <w:r>
        <w:rPr>
          <w:rStyle w:val="font_h1"/>
        </w:rPr>
        <w:t xml:space="preserve">2. Identification des composants</w:t>
      </w:r>
    </w:p>
    <w:p>
      <w:pPr/>
      <w:r>
        <w:rPr/>
        <w:t xml:space="preserve">Validé par le Groupe Spécialisé le 08/10/2019</w:t>
      </w:r>
    </w:p>
    <w:p>
      <w:pPr/>
      <w:r>
        <w:rPr>
          <w:b/>
          <w:bCs/>
        </w:rPr>
        <w:t xml:space="preserve">Description</w:t>
      </w:r>
    </w:p>
    <w:p>
      <w:pPr/>
      <w:r>
        <w:rPr/>
        <w:t xml:space="preserve">Détailler la méthode employée pour l'identification des éléments, ainsi que les informations fournies.</w:t>
      </w:r>
    </w:p>
    <w:p>
      <w:pPr/>
      <w:r>
        <w:rPr>
          <w:rStyle w:val="font_h1"/>
        </w:rPr>
        <w:t xml:space="preserve">3. Caractéristiques des matériaux</w:t>
      </w:r>
    </w:p>
    <w:p>
      <w:pPr>
        <w:ind w:left="720" w:right="0"/>
      </w:pPr>
      <w:r>
        <w:rPr>
          <w:rStyle w:val="font_h2"/>
        </w:rPr>
        <w:t xml:space="preserve">3.1. Armatures</w:t>
      </w:r>
    </w:p>
    <w:p>
      <w:pPr>
        <w:ind w:left="1440" w:right="0"/>
      </w:pPr>
      <w:r>
        <w:rPr>
          <w:rStyle w:val="font_h3"/>
        </w:rPr>
        <w:t xml:space="preserve">3.1.1. Armatures pour béton armé</w:t>
      </w:r>
    </w:p>
    <w:p>
      <w:pPr/>
      <w:r>
        <w:rPr/>
        <w:t xml:space="preserve">Validé par le Groupe Spécialisé le 08/10/2019</w:t>
      </w:r>
    </w:p>
    <w:p>
      <w:pPr/>
      <w:r>
        <w:rPr>
          <w:b/>
          <w:bCs/>
        </w:rPr>
        <w:t xml:space="preserve">Description</w:t>
      </w:r>
    </w:p>
    <w:p>
      <w:pPr/>
      <w:r>
        <w:rPr/>
        <w:t xml:space="preserve">Tous les aciers sont certifiés NF AFCAB ou équivalent et conformes à la norme NF EN 10080.Préciser la classe et la nuance d'acier.</w:t>
      </w:r>
    </w:p>
    <w:p>
      <w:pPr>
        <w:ind w:left="1440" w:right="0"/>
      </w:pPr>
      <w:r>
        <w:rPr>
          <w:rStyle w:val="font_h3"/>
        </w:rPr>
        <w:t xml:space="preserve">3.1.2. Armatures de précontrainte</w:t>
      </w:r>
    </w:p>
    <w:p>
      <w:pPr/>
      <w:r>
        <w:rPr/>
        <w:t xml:space="preserve">Validé par le Groupe Spécialisé le 08/10/2019</w:t>
      </w:r>
    </w:p>
    <w:p>
      <w:pPr/>
      <w:r>
        <w:rPr>
          <w:b/>
          <w:bCs/>
        </w:rPr>
        <w:t xml:space="preserve">Description</w:t>
      </w:r>
    </w:p>
    <w:p>
      <w:pPr/>
      <w:r>
        <w:rPr/>
        <w:t xml:space="preserve">Armatures homologuées ou bénéficiant d’une autorisation de fourniture par le Règlement de Certification des Armatures de Précontrainte (ASQPE) en l’utilisation des torons « clairs ».</w:t>
      </w:r>
    </w:p>
    <w:p>
      <w:pPr/>
      <w:r>
        <w:rPr/>
        <w:t xml:space="preserve">Décrire sous forme de tableau : Désignation Toron / Section nominale / Classe de résistance / Limite élastique</w:t>
      </w:r>
    </w:p>
    <w:p>
      <w:pPr>
        <w:ind w:left="720" w:right="0"/>
      </w:pPr>
      <w:r>
        <w:rPr>
          <w:rStyle w:val="font_h2"/>
        </w:rPr>
        <w:t xml:space="preserve">3.2. Béton</w:t>
      </w:r>
    </w:p>
    <w:p>
      <w:pPr/>
      <w:r>
        <w:rPr/>
        <w:t xml:space="preserve">Validé par le Groupe Spécialisé le 29/01/2026</w:t>
      </w:r>
    </w:p>
    <w:p>
      <w:pPr/>
      <w:r>
        <w:rPr>
          <w:b/>
          <w:bCs/>
        </w:rPr>
        <w:t xml:space="preserve">Description</w:t>
      </w:r>
    </w:p>
    <w:p>
      <w:pPr/>
      <w:r>
        <w:rPr/>
        <w:t xml:space="preserve">Préciser :</w:t>
      </w:r>
    </w:p>
    <w:p>
      <w:pPr>
        <w:pPr/>
        <w:numPr>
          <w:ilvl w:val="0"/>
          <w:numId w:val="10"/>
        </w:numPr>
      </w:pPr>
      <w:r>
        <w:rPr/>
        <w:t xml:space="preserve">Granulométrie ;</w:t>
      </w:r>
    </w:p>
    <w:p>
      <w:pPr>
        <w:pPr/>
        <w:numPr>
          <w:ilvl w:val="0"/>
          <w:numId w:val="10"/>
        </w:numPr>
      </w:pPr>
      <w:r>
        <w:rPr/>
        <w:t xml:space="preserve">Dosage ciment  / granulat ;</w:t>
      </w:r>
    </w:p>
    <w:p>
      <w:pPr>
        <w:pPr/>
        <w:numPr>
          <w:ilvl w:val="0"/>
          <w:numId w:val="10"/>
        </w:numPr>
      </w:pPr>
      <w:r>
        <w:rPr/>
        <w:t xml:space="preserve">Résistance en compression à 28 jours ;</w:t>
      </w:r>
    </w:p>
    <w:p>
      <w:pPr>
        <w:pPr/>
        <w:numPr>
          <w:ilvl w:val="0"/>
          <w:numId w:val="10"/>
        </w:numPr>
      </w:pPr>
      <w:r>
        <w:rPr/>
        <w:t xml:space="preserve">Résistance en compression à détension des armatures.</w:t>
      </w:r>
    </w:p>
    <w:p>
      <w:pPr/>
      <w:r>
        <w:rPr/>
        <w:t xml:space="preserve">Préciser la nature du ciment et justifier la conformité à la norme NF EN 206+A2/CN.</w:t>
      </w:r>
    </w:p>
    <w:p>
      <w:pPr>
        <w:ind w:left="720" w:right="0"/>
      </w:pPr>
      <w:r>
        <w:rPr>
          <w:rStyle w:val="font_h2"/>
        </w:rPr>
        <w:t xml:space="preserve">3.3. Autres matériaux</w:t>
      </w:r>
    </w:p>
    <w:p>
      <w:pPr/>
      <w:r>
        <w:rPr/>
        <w:t xml:space="preserve">Validé par le Groupe Spécialisé le 08/10/2019</w:t>
      </w:r>
    </w:p>
    <w:p>
      <w:pPr/>
      <w:r>
        <w:rPr>
          <w:b/>
          <w:bCs/>
        </w:rPr>
        <w:t xml:space="preserve">Description</w:t>
      </w:r>
    </w:p>
    <w:p>
      <w:pPr/>
      <w:r>
        <w:rPr/>
        <w:t xml:space="preserve">Décrire les autres matériaux constitutifs accessoires et inserts associés au procédé.</w:t>
      </w:r>
    </w:p>
    <w:p>
      <w:pPr/>
      <w:r>
        <w:rPr>
          <w:rStyle w:val="font_h1"/>
        </w:rPr>
        <w:t xml:space="preserve">4. Description des éléments constitutifs</w:t>
      </w:r>
    </w:p>
    <w:p>
      <w:pPr/>
      <w:r>
        <w:rPr/>
        <w:t xml:space="preserve">Validé par le Groupe Spécialisé le 08/10/2019</w:t>
      </w:r>
    </w:p>
    <w:p>
      <w:pPr/>
      <w:r>
        <w:rPr>
          <w:b/>
          <w:bCs/>
        </w:rPr>
        <w:t xml:space="preserve">Description</w:t>
      </w:r>
    </w:p>
    <w:p>
      <w:pPr/>
      <w:r>
        <w:rPr/>
        <w:t xml:space="preserve">Description des différents éléments constituant le procédé:</w:t>
      </w:r>
    </w:p>
    <w:p>
      <w:pPr>
        <w:pPr/>
        <w:numPr>
          <w:ilvl w:val="0"/>
          <w:numId w:val="11"/>
        </w:numPr>
      </w:pPr>
      <w:r>
        <w:rPr/>
        <w:t xml:space="preserve">Type de béton (BA / précontraint); </w:t>
      </w:r>
    </w:p>
    <w:p>
      <w:pPr>
        <w:pPr/>
        <w:numPr>
          <w:ilvl w:val="0"/>
          <w:numId w:val="11"/>
        </w:numPr>
      </w:pPr>
      <w:r>
        <w:rPr/>
        <w:t xml:space="preserve">Géométries (poutres / poteaux, etc…)</w:t>
      </w:r>
    </w:p>
    <w:p>
      <w:pPr/>
      <w:r>
        <w:rPr/>
        <w:t xml:space="preserve">Conformité à la « marque NF » Éléments de structure linéaires et à la norme NF EN 13225 ou équivalent.</w:t>
      </w:r>
    </w:p>
    <w:p>
      <w:pPr/>
      <w:r>
        <w:rPr>
          <w:rStyle w:val="font_h1"/>
        </w:rPr>
        <w:t xml:space="preserve">5. Cas des toitures terrasses (le cas échéant)</w:t>
      </w:r>
    </w:p>
    <w:p>
      <w:pPr/>
      <w:r>
        <w:rPr/>
        <w:t xml:space="preserve">Validé par le Groupe Spécialisé le 08/10/2019</w:t>
      </w:r>
    </w:p>
    <w:p>
      <w:pPr/>
      <w:r>
        <w:rPr>
          <w:b/>
          <w:bCs/>
        </w:rPr>
        <w:t xml:space="preserve">Description</w:t>
      </w:r>
    </w:p>
    <w:p>
      <w:pPr/>
      <w:r>
        <w:rPr/>
        <w:t xml:space="preserve">Lister les destinations visées lorsque les éléments de planchers nervurés de type TT peuvent être utilisés comme éléments porteurs de toiture et support de l’étanchéité pour les destinations suivantes. </w:t>
      </w:r>
    </w:p>
    <w:p>
      <w:pPr/>
      <w:r>
        <w:rPr/>
        <w:t xml:space="preserve">Préciser:  </w:t>
      </w:r>
    </w:p>
    <w:p>
      <w:pPr>
        <w:pPr/>
        <w:numPr>
          <w:ilvl w:val="0"/>
          <w:numId w:val="12"/>
        </w:numPr>
      </w:pPr>
      <w:r>
        <w:rPr/>
        <w:t xml:space="preserve">Traitements d'étanchéité;  </w:t>
      </w:r>
    </w:p>
    <w:p>
      <w:pPr>
        <w:pPr/>
        <w:numPr>
          <w:ilvl w:val="0"/>
          <w:numId w:val="12"/>
        </w:numPr>
      </w:pPr>
      <w:r>
        <w:rPr/>
        <w:t xml:space="preserve">Les dispositifs de collecte et d’évacuation des eaux pluviales et les pénétrations;  </w:t>
      </w:r>
    </w:p>
    <w:p>
      <w:pPr>
        <w:pPr/>
        <w:numPr>
          <w:ilvl w:val="0"/>
          <w:numId w:val="12"/>
        </w:numPr>
      </w:pPr>
      <w:r>
        <w:rPr/>
        <w:t xml:space="preserve">Traitement des zones d'appuis et de joints;  </w:t>
      </w:r>
    </w:p>
    <w:p>
      <w:pPr>
        <w:pPr/>
        <w:numPr>
          <w:ilvl w:val="0"/>
          <w:numId w:val="12"/>
        </w:numPr>
      </w:pPr>
      <w:r>
        <w:rPr/>
        <w:t xml:space="preserve">Traitement des points singuliers (reliefs, retombées, chéneaux, joints de dilatation, évacuations, pénétrations,…);</w:t>
      </w:r>
    </w:p>
    <w:p>
      <w:pPr/>
      <w:r>
        <w:rPr/>
        <w:t xml:space="preserve">Lorsqu'elle est nécessaire, une consultation du GS n°5.2 sera réalisée.</w:t>
      </w:r>
    </w:p>
    <w:p>
      <w:pPr/>
      <w:r>
        <w:rPr>
          <w:rStyle w:val="font_h1"/>
        </w:rPr>
        <w:t xml:space="preserve">6. Fabrication et assurance qualité</w:t>
      </w:r>
    </w:p>
    <w:p>
      <w:pPr/>
      <w:r>
        <w:rPr/>
        <w:t xml:space="preserve">Validé par le Groupe Spécialisé le 08/10/2019</w:t>
      </w:r>
    </w:p>
    <w:p>
      <w:pPr/>
      <w:r>
        <w:rPr>
          <w:b/>
          <w:bCs/>
        </w:rPr>
        <w:t xml:space="preserve">Description</w:t>
      </w:r>
    </w:p>
    <w:p>
      <w:pPr/>
      <w:r>
        <w:rPr/>
        <w:t xml:space="preserve">Préciser:</w:t>
      </w:r>
    </w:p>
    <w:p>
      <w:pPr>
        <w:pPr/>
        <w:numPr>
          <w:ilvl w:val="0"/>
          <w:numId w:val="13"/>
        </w:numPr>
      </w:pPr>
      <w:r>
        <w:rPr/>
        <w:t xml:space="preserve">Méthode de fabrication de chaque type d'éléments;</w:t>
      </w:r>
    </w:p>
    <w:p>
      <w:pPr>
        <w:pPr/>
        <w:numPr>
          <w:ilvl w:val="0"/>
          <w:numId w:val="13"/>
        </w:numPr>
      </w:pPr>
      <w:r>
        <w:rPr/>
        <w:t xml:space="preserve">Application de la précontrainte le cas échéant;</w:t>
      </w:r>
    </w:p>
    <w:p>
      <w:pPr>
        <w:pPr/>
        <w:numPr>
          <w:ilvl w:val="0"/>
          <w:numId w:val="13"/>
        </w:numPr>
      </w:pPr>
      <w:r>
        <w:rPr/>
        <w:t xml:space="preserve">Contrôles du béton avant détension le cas échéant.</w:t>
      </w:r>
    </w:p>
    <w:p>
      <w:pPr>
        <w:pPr/>
        <w:numPr>
          <w:ilvl w:val="0"/>
          <w:numId w:val="13"/>
        </w:numPr>
      </w:pPr>
      <w:r>
        <w:rPr/>
        <w:t xml:space="preserve">Traitement thermique le cas échéant, gestion de la cure du béton</w:t>
      </w:r>
    </w:p>
    <w:p>
      <w:pPr/>
      <w:r>
        <w:rPr/>
        <w:t xml:space="preserve">Les éléments sont fabriqués conformément aux prescriptions des normes NF EN 13224 et NF EN 13225 et du référentiel technique de la certification NF «Eléments de structure linéaires » ou équivalent. </w:t>
      </w:r>
    </w:p>
    <w:p>
      <w:pPr/>
      <w:r>
        <w:rPr/>
        <w:t xml:space="preserve">Aux différents stades de la fabrication, un autocontrôle systématique est effectué conformément aux prescriptions du référentiel technique de la certification NF Éléments de structure linéaires.</w:t>
      </w:r>
    </w:p>
    <w:p>
      <w:pPr/>
      <w:r>
        <w:rPr>
          <w:b/>
          <w:bCs/>
        </w:rPr>
        <w:t xml:space="preserve">Justification</w:t>
      </w:r>
    </w:p>
    <w:p>
      <w:pPr/>
      <w:r>
        <w:rPr/>
        <w:t xml:space="preserve">Certification NF "Eléments de structures linéaires" ou équivalent pour justifier la constance de performance des produits.</w:t>
      </w:r>
    </w:p>
    <w:p>
      <w:pPr/>
      <w:r>
        <w:rPr>
          <w:rStyle w:val="font_h1"/>
        </w:rPr>
        <w:t xml:space="preserve">7. Manutention et stockage des éléments préfabriqués</w:t>
      </w:r>
    </w:p>
    <w:p>
      <w:pPr/>
      <w:r>
        <w:rPr/>
        <w:t xml:space="preserve">Validé par le Groupe Spécialisé le 08/10/2019</w:t>
      </w:r>
    </w:p>
    <w:p>
      <w:pPr/>
      <w:r>
        <w:rPr>
          <w:b/>
          <w:bCs/>
        </w:rPr>
        <w:t xml:space="preserve">Description</w:t>
      </w:r>
    </w:p>
    <w:p>
      <w:pPr/>
      <w:r>
        <w:rPr/>
        <w:t xml:space="preserve">Préciser les dispositions prises pour la manutention et le stockage des produits.</w:t>
      </w:r>
    </w:p>
    <w:p>
      <w:pPr/>
      <w:r>
        <w:rPr>
          <w:b/>
          <w:bCs/>
        </w:rPr>
        <w:t xml:space="preserve">Justification</w:t>
      </w:r>
    </w:p>
    <w:p>
      <w:pPr/>
      <w:r>
        <w:rPr/>
        <w:t xml:space="preserve">Notice de pose.</w:t>
      </w:r>
    </w:p>
    <w:p>
      <w:pPr/>
      <w:r>
        <w:rPr>
          <w:rStyle w:val="font_h1"/>
        </w:rPr>
        <w:t xml:space="preserve">8. Mise en œuvre</w:t>
      </w:r>
    </w:p>
    <w:p>
      <w:pPr/>
      <w:r>
        <w:rPr/>
        <w:t xml:space="preserve">Validé par le Groupe Spécialisé le 08/10/2019</w:t>
      </w:r>
    </w:p>
    <w:p>
      <w:pPr/>
      <w:r>
        <w:rPr>
          <w:b/>
          <w:bCs/>
        </w:rPr>
        <w:t xml:space="preserve">Description</w:t>
      </w:r>
    </w:p>
    <w:p>
      <w:pPr/>
      <w:r>
        <w:rPr/>
        <w:t xml:space="preserve">Les plans de montage des différents éléments constituant le bâtiment, en particulier ceux des éléments précontraints, sont établis par le BET interne au fabricant. Ces plans doivent comporter, outre le repérage et le positionnement des éléments, leurs poids, leurs conditions de manutention, les dispositions particulières éventuelles (ex. : étaiement), les détails concernant les liaisons (inserts, mortier de scellement, etc...) et les ferraillages complémentaires.</w:t>
      </w:r>
    </w:p>
    <w:p>
      <w:pPr/>
      <w:r>
        <w:rPr/>
        <w:t xml:space="preserve">Détailler les dispositions prises afin d'éviter un poinçonnement local du béton sur appuis (appuis néoprène,…)</w:t>
      </w:r>
    </w:p>
    <w:p>
      <w:pPr/>
      <w:r>
        <w:rPr/>
        <w:t xml:space="preserve">Lorsque la pose est assurée par le pré-fabricant, un PPSPS (Plan Particulier de Sécurité et de Protection de la Santé) est fourni, dans lequel sont définis les points suivants :</w:t>
      </w:r>
    </w:p>
    <w:p>
      <w:pPr/>
      <w:r>
        <w:rPr/>
        <w:t xml:space="preserve">•   description des travaux,</w:t>
      </w:r>
    </w:p>
    <w:p>
      <w:pPr/>
      <w:r>
        <w:rPr/>
        <w:t xml:space="preserve">•   délai d’exécution, main d’œuvre,</w:t>
      </w:r>
    </w:p>
    <w:p>
      <w:pPr/>
      <w:r>
        <w:rPr/>
        <w:t xml:space="preserve">•   risques professionnels,</w:t>
      </w:r>
    </w:p>
    <w:p>
      <w:pPr/>
      <w:r>
        <w:rPr/>
        <w:t xml:space="preserve">•   risques de dommages aux tiers,</w:t>
      </w:r>
    </w:p>
    <w:p>
      <w:pPr/>
      <w:r>
        <w:rPr/>
        <w:t xml:space="preserve">•   protections collectives et individuelles,</w:t>
      </w:r>
    </w:p>
    <w:p>
      <w:pPr/>
      <w:r>
        <w:rPr/>
        <w:t xml:space="preserve">•   formation,</w:t>
      </w:r>
    </w:p>
    <w:p>
      <w:pPr/>
      <w:r>
        <w:rPr/>
        <w:t xml:space="preserve">•   cahier des charges,</w:t>
      </w:r>
    </w:p>
    <w:p>
      <w:pPr/>
      <w:r>
        <w:rPr/>
        <w:t xml:space="preserve">•   guide d’utilisation,</w:t>
      </w:r>
    </w:p>
    <w:p>
      <w:pPr/>
      <w:r>
        <w:rPr/>
        <w:t xml:space="preserve">•   plans,</w:t>
      </w:r>
    </w:p>
    <w:p>
      <w:pPr/>
      <w:r>
        <w:rPr/>
        <w:t xml:space="preserve">•   renseignements concernant le chantier,</w:t>
      </w:r>
    </w:p>
    <w:p>
      <w:pPr/>
      <w:r>
        <w:rPr/>
        <w:t xml:space="preserve">•   modes opératoires détaillés des conditions de déchargement, stockage et pose, avec des schémas précis.</w:t>
      </w:r>
    </w:p>
    <w:p>
      <w:pPr/>
      <w:r>
        <w:rPr/>
        <w:t xml:space="preserve">Préciser:</w:t>
      </w:r>
    </w:p>
    <w:p>
      <w:pPr>
        <w:pPr/>
        <w:numPr>
          <w:ilvl w:val="0"/>
          <w:numId w:val="14"/>
        </w:numPr>
      </w:pPr>
      <w:r>
        <w:rPr/>
        <w:t xml:space="preserve">Dispositions prises (assistance, etc..), dans le cas où le montage n’est pas assuré par le pré-fabricant, par l’entreprise de préfabrication</w:t>
      </w:r>
    </w:p>
    <w:p>
      <w:pPr/>
      <w:r>
        <w:rPr>
          <w:b/>
          <w:bCs/>
        </w:rPr>
        <w:t xml:space="preserve">Justification</w:t>
      </w:r>
    </w:p>
    <w:p>
      <w:pPr/>
      <w:r>
        <w:rPr/>
        <w:t xml:space="preserve">Plan Assurance Qualité de chantier.</w:t>
      </w:r>
    </w:p>
    <w:p>
      <w:pPr/>
      <w:r>
        <w:rPr/>
        <w:t xml:space="preserve">Exemple de plan de pose.</w:t>
      </w:r>
    </w:p>
    <w:p>
      <w:pPr/>
      <w:r>
        <w:rPr>
          <w:rStyle w:val="font_h1"/>
        </w:rPr>
        <w:t xml:space="preserve">9. Règles de conception et de calcul</w:t>
      </w:r>
    </w:p>
    <w:p>
      <w:pPr/>
      <w:r>
        <w:rPr/>
        <w:t xml:space="preserve">Validé par le Groupe Spécialisé le 08/10/2019</w:t>
      </w:r>
    </w:p>
    <w:p>
      <w:pPr/>
      <w:r>
        <w:rPr>
          <w:b/>
          <w:bCs/>
        </w:rPr>
        <w:t xml:space="preserve">Description</w:t>
      </w:r>
    </w:p>
    <w:p>
      <w:pPr/>
      <w:r>
        <w:rPr/>
        <w:t xml:space="preserve">Préciser les règles de conception des points singuliers : ouvertures, biais, éléments de rives…</w:t>
      </w:r>
    </w:p>
    <w:p>
      <w:pPr/>
      <w:r>
        <w:rPr/>
        <w:t xml:space="preserve">La conception et le dimensionnement des éléments sont effectués conformément aux prescriptions des références suivantes : </w:t>
      </w:r>
    </w:p>
    <w:p>
      <w:pPr/>
      <w:r>
        <w:rPr/>
        <w:t xml:space="preserve">•   Eurocodes 0 – Bases de calcul  (et Annexes Nationales)</w:t>
      </w:r>
    </w:p>
    <w:p>
      <w:pPr/>
      <w:r>
        <w:rPr/>
        <w:t xml:space="preserve">•   Eurocodes 1 – Actions sur les structures (et Annexes Nationales)</w:t>
      </w:r>
    </w:p>
    <w:p>
      <w:pPr/>
      <w:r>
        <w:rPr/>
        <w:t xml:space="preserve">•   Eurocodes 2 – Calcul des structures en béton (et Annexes Nationales)</w:t>
      </w:r>
    </w:p>
    <w:p>
      <w:pPr/>
      <w:r>
        <w:rPr/>
        <w:t xml:space="preserve">•   Eurocodes 8 – Calcul des structures pour leur résistance aux séismes (et Annexes Nationales)</w:t>
      </w:r>
    </w:p>
    <w:p>
      <w:pPr/>
      <w:r>
        <w:rPr/>
        <w:t xml:space="preserve">•   NF DTU 23.3 Ossatures en éléments industrialisés en béton</w:t>
      </w:r>
    </w:p>
    <w:p>
      <w:pPr/>
      <w:r>
        <w:rPr/>
        <w:t xml:space="preserve">•   NF EN 13224 Éléments de plancher nervurés</w:t>
      </w:r>
    </w:p>
    <w:p>
      <w:pPr/>
      <w:r>
        <w:rPr/>
        <w:t xml:space="preserve">•   NF EN 13225 Éléments de structure linéaires</w:t>
      </w:r>
    </w:p>
    <w:p>
      <w:pPr/>
      <w:r>
        <w:rPr/>
        <w:t xml:space="preserve">•   DTU 20.12 : Pour la définition du type de plancher au sens du DTU 20.12 lorsqu’il est utilisé en support d’étanchéité</w:t>
      </w:r>
    </w:p>
    <w:p>
      <w:pPr/>
      <w:r>
        <w:rPr>
          <w:b/>
          <w:bCs/>
        </w:rPr>
        <w:t xml:space="preserve">Justification</w:t>
      </w:r>
    </w:p>
    <w:p>
      <w:pPr/>
      <w:r>
        <w:rPr/>
        <w:t xml:space="preserve">Exemple de note de calcul.</w:t>
      </w:r>
    </w:p>
    <w:p>
      <w:pPr/>
      <w:r>
        <w:rPr>
          <w:rStyle w:val="font_h1"/>
        </w:rPr>
        <w:t xml:space="preserve">10. Contreventement des bâtiments (le cas échéant)</w:t>
      </w:r>
    </w:p>
    <w:p>
      <w:pPr/>
      <w:r>
        <w:rPr/>
        <w:t xml:space="preserve">Validé par le Groupe Spécialisé le 08/10/2019</w:t>
      </w:r>
    </w:p>
    <w:p>
      <w:pPr/>
      <w:r>
        <w:rPr>
          <w:b/>
          <w:bCs/>
        </w:rPr>
        <w:t xml:space="preserve">Description</w:t>
      </w:r>
    </w:p>
    <w:p>
      <w:pPr/>
      <w:r>
        <w:rPr/>
        <w:t xml:space="preserve">Décrire le principe de contreventement qui peut consister soit en des portiques auto-stables dans les deux directions, soit en des éléments rapportés ne faisant pas partie du procédé.</w:t>
      </w:r>
    </w:p>
    <w:p>
      <w:pPr>
        <w:pPr/>
        <w:numPr>
          <w:ilvl w:val="0"/>
          <w:numId w:val="15"/>
        </w:numPr>
      </w:pPr>
      <w:r>
        <w:rPr/>
        <w:t xml:space="preserve">Contreventement par portiques auto-stables :</w:t>
      </w:r>
    </w:p>
    <w:p>
      <w:pPr>
        <w:pPr/>
        <w:numPr>
          <w:ilvl w:val="0"/>
          <w:numId w:val="15"/>
        </w:numPr>
      </w:pPr>
      <w:r>
        <w:rPr/>
        <w:t xml:space="preserve">Contreventement par éléments rapportés ne faisant pas partie du procédé;</w:t>
      </w:r>
    </w:p>
    <w:p>
      <w:pPr>
        <w:pPr/>
        <w:numPr>
          <w:ilvl w:val="0"/>
          <w:numId w:val="15"/>
        </w:numPr>
      </w:pPr>
      <w:r>
        <w:rPr/>
        <w:t xml:space="preserve">Dispositions particulières.</w:t>
      </w:r>
    </w:p>
    <w:p>
      <w:pPr/>
      <w:r>
        <w:rPr>
          <w:b/>
          <w:bCs/>
        </w:rPr>
        <w:t xml:space="preserve">Justification</w:t>
      </w:r>
    </w:p>
    <w:p>
      <w:pPr/>
      <w:r>
        <w:rPr/>
        <w:t xml:space="preserve">Exemple de note de calculs</w:t>
      </w:r>
    </w:p>
    <w:p>
      <w:pPr/>
      <w:r>
        <w:rPr>
          <w:b/>
          <w:bCs/>
        </w:rPr>
        <w:t xml:space="preserve">Illustration</w:t>
      </w:r>
    </w:p>
    <w:p>
      <w:pPr/>
      <w:r>
        <w:rPr/>
        <w:t xml:space="preserve">Schémas descriptifs.</w:t>
      </w:r>
    </w:p>
    <w:p>
      <w:pPr/>
      <w:r>
        <w:rPr>
          <w:rStyle w:val="font_h1"/>
        </w:rPr>
        <w:t xml:space="preserve">11. Utilisation en zone sismique</w:t>
      </w:r>
    </w:p>
    <w:p>
      <w:pPr/>
      <w:r>
        <w:rPr/>
        <w:t xml:space="preserve">Validé par le Groupe Spécialisé le 08/10/2019</w:t>
      </w:r>
    </w:p>
    <w:p>
      <w:pPr/>
      <w:r>
        <w:rPr>
          <w:b/>
          <w:bCs/>
        </w:rPr>
        <w:t xml:space="preserve">Description</w:t>
      </w:r>
    </w:p>
    <w:p>
      <w:pPr/>
      <w:r>
        <w:rPr/>
        <w:t xml:space="preserve">Préciser les principes de dimensionnement et de conception lorsque des exigences sismiques sont applicables.</w:t>
      </w:r>
    </w:p>
    <w:p>
      <w:pPr/>
      <w:r>
        <w:rPr>
          <w:b/>
          <w:bCs/>
        </w:rPr>
        <w:t xml:space="preserve">Justification</w:t>
      </w:r>
    </w:p>
    <w:p>
      <w:pPr/>
      <w:r>
        <w:rPr/>
        <w:t xml:space="preserve">Exemple de note de calcul.</w:t>
      </w:r>
    </w:p>
    <w:p>
      <w:pPr/>
      <w:r>
        <w:rPr>
          <w:rStyle w:val="font_h1"/>
        </w:rPr>
        <w:t xml:space="preserve">12. Sécurité incendie</w:t>
      </w:r>
    </w:p>
    <w:p>
      <w:pPr/>
      <w:r>
        <w:rPr/>
        <w:t xml:space="preserve">Validé par le Groupe Spécialisé le 08/10/2019</w:t>
      </w:r>
    </w:p>
    <w:p>
      <w:pPr/>
      <w:r>
        <w:rPr>
          <w:b/>
          <w:bCs/>
        </w:rPr>
        <w:t xml:space="preserve">Description</w:t>
      </w:r>
    </w:p>
    <w:p>
      <w:pPr/>
      <w:r>
        <w:rPr/>
        <w:t xml:space="preserve">Préciser les principes de dimensionnement et de conception en situation d’incendie. Une appréciation de laboratoire de résistance au feu peut être requise.</w:t>
      </w:r>
    </w:p>
    <w:p>
      <w:pPr/>
      <w:r>
        <w:rPr>
          <w:rStyle w:val="font_h1"/>
        </w:rPr>
        <w:t xml:space="preserve">13. Schémas du Dossier Technique</w:t>
      </w:r>
    </w:p>
    <w:p>
      <w:pPr/>
      <w:r>
        <w:rPr/>
        <w:t xml:space="preserve">Validé par le Groupe Spécialisé le 08/10/2019</w:t>
      </w:r>
    </w:p>
    <w:p>
      <w:pPr/>
      <w:r>
        <w:rPr>
          <w:b/>
          <w:bCs/>
        </w:rPr>
        <w:t xml:space="preserve">Description</w:t>
      </w:r>
    </w:p>
    <w:p>
      <w:pPr/>
      <w:r>
        <w:rPr/>
        <w:t xml:space="preserve">Eléments composant une charpente béton;</w:t>
      </w:r>
    </w:p>
    <w:p>
      <w:pPr/>
      <w:r>
        <w:rPr/>
        <w:t xml:space="preserve">Géométrie et armatures des éléments;</w:t>
      </w:r>
    </w:p>
    <w:p>
      <w:pPr/>
      <w:r>
        <w:rPr/>
        <w:t xml:space="preserve">Elévation sur appui;</w:t>
      </w:r>
    </w:p>
    <w:p>
      <w:pPr/>
      <w:r>
        <w:rPr/>
        <w:t xml:space="preserve">Principe de pose d'un plancher;</w:t>
      </w:r>
    </w:p>
    <w:p>
      <w:pPr/>
      <w:r>
        <w:rPr/>
        <w:t xml:space="preserve">Principe de ferraillage d'une table de compression d'un plancher;</w:t>
      </w:r>
    </w:p>
    <w:p>
      <w:pPr/>
      <w:r>
        <w:rPr/>
        <w:t xml:space="preserve">Principe d'étanchéité des planchers toiture-terrasse.</w:t>
      </w:r>
    </w:p>
    <w:p>
      <w:pPr/>
      <w:r>
        <w:rPr>
          <w:b/>
          <w:bCs/>
        </w:rPr>
        <w:t xml:space="preserve">Illustration</w:t>
      </w:r>
    </w:p>
    <w:p>
      <w:pPr/>
      <w:r>
        <w:rPr/>
        <w:t xml:space="preserve">Schémas cotés.</w:t>
      </w:r>
    </w:p>
    <w:p>
      <w:pPr/>
      <w:r>
        <w:rPr>
          <w:rStyle w:val="font_h1"/>
        </w:rPr>
        <w:t xml:space="preserve">14. Références</w:t>
      </w:r>
    </w:p>
    <w:p>
      <w:pPr/>
      <w:r>
        <w:rPr/>
        <w:t xml:space="preserve">Validé par le Groupe Spécialisé le 08/10/2019</w:t>
      </w:r>
    </w:p>
    <w:p>
      <w:pPr/>
      <w:r>
        <w:rPr>
          <w:b/>
          <w:bCs/>
        </w:rPr>
        <w:t xml:space="preserve">Description</w:t>
      </w:r>
    </w:p>
    <w:p>
      <w:pPr/>
      <w:r>
        <w:rPr/>
        <w:t xml:space="preserve">Fourniture d’une liste de référence pour la réalisation d’une enquête chantier. Les références doivent être représentatives du domaine d’emploi revendiqué.</w:t>
      </w:r>
    </w:p>
    <w:p>
      <w:pPr/>
      <w:r>
        <w:rPr/>
        <w:t xml:space="preserve">Préciser pour chaque référence :</w:t>
      </w:r>
    </w:p>
    <w:p>
      <w:pPr>
        <w:pPr/>
        <w:numPr>
          <w:ilvl w:val="0"/>
          <w:numId w:val="16"/>
        </w:numPr>
      </w:pPr>
      <w:r>
        <w:rPr/>
        <w:t xml:space="preserve">Date mise en œuvre;</w:t>
      </w:r>
    </w:p>
    <w:p>
      <w:pPr>
        <w:pPr/>
        <w:numPr>
          <w:ilvl w:val="0"/>
          <w:numId w:val="16"/>
        </w:numPr>
      </w:pPr>
      <w:r>
        <w:rPr/>
        <w:t xml:space="preserve">Date réception;</w:t>
      </w:r>
    </w:p>
    <w:p>
      <w:pPr>
        <w:pPr/>
        <w:numPr>
          <w:ilvl w:val="0"/>
          <w:numId w:val="16"/>
        </w:numPr>
      </w:pPr>
      <w:r>
        <w:rPr/>
        <w:t xml:space="preserve">Lieu;</w:t>
      </w:r>
    </w:p>
    <w:p>
      <w:pPr>
        <w:pPr/>
        <w:numPr>
          <w:ilvl w:val="0"/>
          <w:numId w:val="16"/>
        </w:numPr>
      </w:pPr>
      <w:r>
        <w:rPr/>
        <w:t xml:space="preserve">Maître d'Ouvrage (nom+ coord.);</w:t>
      </w:r>
    </w:p>
    <w:p>
      <w:pPr>
        <w:pPr/>
        <w:numPr>
          <w:ilvl w:val="0"/>
          <w:numId w:val="16"/>
        </w:numPr>
      </w:pPr>
      <w:r>
        <w:rPr/>
        <w:t xml:space="preserve">Maître d'Œuvre (nom+ coord.);</w:t>
      </w:r>
    </w:p>
    <w:p>
      <w:pPr>
        <w:pPr/>
        <w:numPr>
          <w:ilvl w:val="0"/>
          <w:numId w:val="16"/>
        </w:numPr>
      </w:pPr>
      <w:r>
        <w:rPr/>
        <w:t xml:space="preserve">Entreprise (nom+ coord.);</w:t>
      </w:r>
    </w:p>
    <w:p>
      <w:pPr>
        <w:pPr/>
        <w:numPr>
          <w:ilvl w:val="0"/>
          <w:numId w:val="16"/>
        </w:numPr>
      </w:pPr>
      <w:r>
        <w:rPr/>
        <w:t xml:space="preserve">Contrôleur technique (nom+ coord.);</w:t>
      </w:r>
    </w:p>
    <w:p>
      <w:pPr>
        <w:pPr/>
        <w:numPr>
          <w:ilvl w:val="0"/>
          <w:numId w:val="16"/>
        </w:numPr>
      </w:pPr>
      <w:r>
        <w:rPr/>
        <w:t xml:space="preserve">Rôle du titulaire (fabricant, poseur, etc…);</w:t>
      </w:r>
    </w:p>
    <w:p>
      <w:pPr>
        <w:pPr/>
        <w:numPr>
          <w:ilvl w:val="0"/>
          <w:numId w:val="16"/>
        </w:numPr>
      </w:pPr>
      <w:r>
        <w:rPr/>
        <w:t xml:space="preserve">Type de bâtiment/ouvrage (nb niveaux, super et/ou infra);</w:t>
      </w:r>
    </w:p>
    <w:p>
      <w:pPr>
        <w:pPr/>
        <w:numPr>
          <w:ilvl w:val="0"/>
          <w:numId w:val="16"/>
        </w:numPr>
      </w:pPr>
      <w:r>
        <w:rPr/>
        <w:t xml:space="preserve">Surface/quantité lise en œuvre;</w:t>
      </w:r>
    </w:p>
    <w:p>
      <w:pPr>
        <w:pPr/>
        <w:numPr>
          <w:ilvl w:val="0"/>
          <w:numId w:val="16"/>
        </w:numPr>
      </w:pPr>
      <w:r>
        <w:rPr/>
        <w:t xml:space="preserve">Particularités (type de produit, gamme…);</w:t>
      </w:r>
    </w:p>
    <w:p>
      <w:pPr>
        <w:pPr/>
        <w:numPr>
          <w:ilvl w:val="0"/>
          <w:numId w:val="16"/>
        </w:numPr>
      </w:pPr>
      <w:r>
        <w:rPr/>
        <w:t xml:space="preserve">Désordres éventuels/difficultés particulières.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31D2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969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C89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D696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1A6D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9036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5299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DA07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2026-05-07T16:13:06+02:00</dcterms:created>
  <dcterms:modified xsi:type="dcterms:W3CDTF">2026-05-07T16:13:06+02:00</dcterms:modified>
</cp:coreProperties>
</file>

<file path=docProps/custom.xml><?xml version="1.0" encoding="utf-8"?>
<Properties xmlns="http://schemas.openxmlformats.org/officeDocument/2006/custom-properties" xmlns:vt="http://schemas.openxmlformats.org/officeDocument/2006/docPropsVTypes"/>
</file>