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3.1 - Édité le 05/02/2026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3.1 « Planchers et accessoires de plancher »</w:t>
      </w:r>
    </w:p>
    <w:p>
      <w:pPr/>
      <w:r>
        <w:rPr>
          <w:rStyle w:val="font_default"/>
        </w:rPr>
        <w:t xml:space="preserve">Famille de produits ou procédés : </w:t>
      </w:r>
      <w:r>
        <w:rPr>
          <w:rStyle w:val="font_h3"/>
        </w:rPr>
        <w:t xml:space="preserve">Plancher à poutrelles en béton armé avec treillis</w:t>
      </w:r>
    </w:p>
    <w:p>
      <w:pPr/>
      <w:r>
        <w:rPr>
          <w:rStyle w:val="font_h1"/>
        </w:rPr>
        <w:t xml:space="preserve">1. Classe du système</w:t>
      </w:r>
    </w:p>
    <w:p>
      <w:pPr/>
      <w:r>
        <w:rPr/>
        <w:t xml:space="preserve">Validé par le Groupe Spécialisé le 08/10/2019</w:t>
      </w:r>
    </w:p>
    <w:p>
      <w:pPr/>
      <w:r>
        <w:rPr>
          <w:b/>
          <w:bCs/>
        </w:rPr>
        <w:t xml:space="preserve">Description</w:t>
      </w:r>
    </w:p>
    <w:p>
      <w:pPr/>
      <w:r>
        <w:rPr/>
        <w:t xml:space="preserve">Plancher nervuré à poutrelles préfabriquées en treillis métallique soudé, à base pré-enrobée.</w:t>
      </w:r>
    </w:p>
    <w:p>
      <w:pPr/>
      <w:r>
        <w:rPr/>
        <w:t xml:space="preserve">Nature des entrevous (matériaux, coffrage, non résistants, résistants et porteurs), table de compression complète ou partielle, table de compression coulée en œuvre ou incorporée.</w:t>
      </w:r>
    </w:p>
    <w:p>
      <w:pPr/>
      <w:r>
        <w:rPr>
          <w:b/>
          <w:bCs/>
        </w:rPr>
        <w:t xml:space="preserve">Justification</w:t>
      </w:r>
    </w:p>
    <w:p>
      <w:pPr/>
      <w:r>
        <w:rPr/>
        <w:t xml:space="preserve">Expliciter les dérogations au DTU 23.5 et à la norme produit NF EN 15037-1</w:t>
      </w:r>
    </w:p>
    <w:p>
      <w:pPr/>
      <w:r>
        <w:rPr>
          <w:rStyle w:val="font_h1"/>
        </w:rPr>
        <w:t xml:space="preserve">2. Domaine d’emploi proposé</w:t>
      </w:r>
    </w:p>
    <w:p>
      <w:pPr/>
      <w:r>
        <w:rPr/>
        <w:t xml:space="preserve">Validé par le Groupe Spécialisé le 08/10/2019</w:t>
      </w:r>
    </w:p>
    <w:p>
      <w:pPr/>
      <w:r>
        <w:rPr>
          <w:b/>
          <w:bCs/>
        </w:rPr>
        <w:t xml:space="preserve">Description</w:t>
      </w:r>
    </w:p>
    <w:p>
      <w:pPr/>
      <w:r>
        <w:rPr/>
        <w:t xml:space="preserve">Types d’ouvrages (localisation du plancher et nature du bâtiment);</w:t>
      </w:r>
    </w:p>
    <w:p>
      <w:pPr/>
      <w:r>
        <w:rPr/>
        <w:t xml:space="preserve">Types de sollicitations (statiques, dynamiques, fatigue, chocs, …);</w:t>
      </w:r>
    </w:p>
    <w:p>
      <w:pPr/>
      <w:r>
        <w:rPr/>
        <w:t xml:space="preserve">Conditions environnementales (classes d’exposition, atmosphères agressives,…);</w:t>
      </w:r>
    </w:p>
    <w:p>
      <w:pPr/>
      <w:r>
        <w:rPr/>
        <w:t xml:space="preserve">Zones géographiques;</w:t>
      </w:r>
    </w:p>
    <w:p>
      <w:pPr/>
      <w:r>
        <w:rPr/>
        <w:t xml:space="preserve">Zones sismiques et catégories d’importance de bâtiments;</w:t>
      </w:r>
    </w:p>
    <w:p>
      <w:pPr/>
      <w:r>
        <w:rPr/>
        <w:t xml:space="preserve">Utilisation revendiquée dans les DROM-COM;</w:t>
      </w:r>
    </w:p>
    <w:p>
      <w:pPr/>
      <w:r>
        <w:rPr/>
        <w:t xml:space="preserve">Domaine d’emploi des planchers avec entrevous spécifiques vis-à-vis de la sécurité incendie (nature des locaux et localisation du plancher).</w:t>
      </w:r>
    </w:p>
    <w:p>
      <w:pPr/>
      <w:r>
        <w:rPr>
          <w:rStyle w:val="font_h1"/>
        </w:rPr>
        <w:t xml:space="preserve">3. Description du procédé de plancher</w:t>
      </w:r>
    </w:p>
    <w:p>
      <w:pPr>
        <w:ind w:left="720" w:right="0"/>
      </w:pPr>
      <w:r>
        <w:rPr>
          <w:rStyle w:val="font_h2"/>
        </w:rPr>
        <w:t xml:space="preserve">3.1. Définition des matériaux</w:t>
      </w:r>
    </w:p>
    <w:p>
      <w:pPr>
        <w:ind w:left="1440" w:right="0"/>
      </w:pPr>
      <w:r>
        <w:rPr>
          <w:rStyle w:val="font_h3"/>
        </w:rPr>
        <w:t xml:space="preserve">3.1.1. Aciers du raidisseur</w:t>
      </w:r>
    </w:p>
    <w:p>
      <w:pPr/>
      <w:r>
        <w:rPr/>
        <w:t xml:space="preserve">Validé par le Groupe Spécialisé le 08/10/2019</w:t>
      </w:r>
    </w:p>
    <w:p>
      <w:pPr/>
      <w:r>
        <w:rPr>
          <w:b/>
          <w:bCs/>
        </w:rPr>
        <w:t xml:space="preserve">Description</w:t>
      </w:r>
    </w:p>
    <w:p>
      <w:pPr/>
      <w:r>
        <w:rPr/>
        <w:t xml:space="preserve">Définition de la nature et des types d’armatures employées pour la fabrication des raidisseurs (membrure inférieure-membrure supérieure et diagonale du raidisseur : diamètres, nuance de l’acier, armature à haute adhérence ou lisse, limite d’élasticité garantie, contrainte de rupture garantie, allongement garanti à la rupture), existence d’un suivi de production de type certificat de conformité NF-Armatures.</w:t>
      </w:r>
    </w:p>
    <w:p>
      <w:pPr>
        <w:ind w:left="1440" w:right="0"/>
      </w:pPr>
      <w:r>
        <w:rPr>
          <w:rStyle w:val="font_h3"/>
        </w:rPr>
        <w:t xml:space="preserve">3.1.2. Armatures complémentaires</w:t>
      </w:r>
    </w:p>
    <w:p>
      <w:pPr/>
      <w:r>
        <w:rPr/>
        <w:t xml:space="preserve">Validé par le Groupe Spécialisé le 08/10/2019</w:t>
      </w:r>
    </w:p>
    <w:p>
      <w:pPr/>
      <w:r>
        <w:rPr>
          <w:b/>
          <w:bCs/>
        </w:rPr>
        <w:t xml:space="preserve">Description</w:t>
      </w:r>
    </w:p>
    <w:p>
      <w:pPr>
        <w:pPr/>
        <w:numPr>
          <w:ilvl w:val="0"/>
          <w:numId w:val="9"/>
        </w:numPr>
      </w:pPr>
      <w:r>
        <w:rPr/>
        <w:t xml:space="preserve">Dans les poutrelles : définition de la nature et du type d’armature utilisée pour le renforcement des poutrelles (renforcement à la flexion et à l’effort tranchant ; barres longitudinales, raidisseurs, clips ; nuances de l’acier, lisse ou cranté, diamètres, espacement des clips, angle et pas du treillis, …);</w:t>
      </w:r>
    </w:p>
    <w:p>
      <w:pPr>
        <w:pPr/>
        <w:numPr>
          <w:ilvl w:val="0"/>
          <w:numId w:val="9"/>
        </w:numPr>
      </w:pPr>
      <w:r>
        <w:rPr/>
        <w:t xml:space="preserve">Dans la dalle de compression : définition du treillis soudé (nuance de l’acier, espacements maximaux des armatures dans les sens parallèle et perpendiculaire aux nervures), définition des renforts (nuance de l’acier), définition des armatures en chapeaux (treillis soudé, barres : cranté ou lisse, nuance de l’acier).</w:t>
      </w:r>
    </w:p>
    <w:p>
      <w:pPr/>
      <w:r>
        <w:rPr>
          <w:b/>
          <w:bCs/>
        </w:rPr>
        <w:t xml:space="preserve">Justification</w:t>
      </w:r>
    </w:p>
    <w:p>
      <w:pPr/>
      <w:r>
        <w:rPr/>
        <w:t xml:space="preserve">Schémas des armatures complémentaires (armatures transversales, système de levage, …)</w:t>
      </w:r>
    </w:p>
    <w:p>
      <w:pPr>
        <w:ind w:left="1440" w:right="0"/>
      </w:pPr>
      <w:r>
        <w:rPr>
          <w:rStyle w:val="font_h3"/>
        </w:rPr>
        <w:t xml:space="preserve">3.1.3. Béton de poutrelle</w:t>
      </w:r>
    </w:p>
    <w:p>
      <w:pPr/>
      <w:r>
        <w:rPr/>
        <w:t xml:space="preserve">Validé par le Groupe Spécialisé le 30/01/2025</w:t>
      </w:r>
    </w:p>
    <w:p>
      <w:pPr/>
      <w:r>
        <w:rPr>
          <w:b/>
          <w:bCs/>
        </w:rPr>
        <w:t xml:space="preserve">Description</w:t>
      </w:r>
    </w:p>
    <w:p>
      <w:pPr/>
      <w:r>
        <w:rPr/>
        <w:t xml:space="preserve">Type de sable et de granulats (lourds, légers, …), limitation de la granulométrie, résistance caractéristique en compression à 28 jours fck, caractéristiques de durabilité, proportion volumique de granulats en cas d’utilisation de béton auto-plaçant.</w:t>
      </w:r>
    </w:p>
    <w:p>
      <w:pPr/>
      <w:r>
        <w:rPr/>
        <w:t xml:space="preserve">Préciser la nature du ciment et justifier la conformité à la norme NF EN 206+A2/CN.</w:t>
      </w:r>
    </w:p>
    <w:p>
      <w:pPr>
        <w:ind w:left="1440" w:right="0"/>
      </w:pPr>
      <w:r>
        <w:rPr>
          <w:rStyle w:val="font_h3"/>
        </w:rPr>
        <w:t xml:space="preserve">3.1.4. Béton coulé en œuvre</w:t>
      </w:r>
    </w:p>
    <w:p>
      <w:pPr/>
      <w:r>
        <w:rPr/>
        <w:t xml:space="preserve">Validé par le Groupe Spécialisé le 30/01/2025</w:t>
      </w:r>
    </w:p>
    <w:p>
      <w:pPr/>
      <w:r>
        <w:rPr>
          <w:b/>
          <w:bCs/>
        </w:rPr>
        <w:t xml:space="preserve">Description</w:t>
      </w:r>
    </w:p>
    <w:p>
      <w:pPr/>
      <w:r>
        <w:rPr/>
        <w:t xml:space="preserve">Type de sable et de granulats (lourds, légers, …), résistance caractéristique en compression à 28 jours fck, caractéristiques de durabilité, possibilité d’ajouter des fibres, proportion volumique de granulats en cas d’utilisation de béton auto-plaçant.</w:t>
      </w:r>
    </w:p>
    <w:p>
      <w:pPr/>
      <w:r>
        <w:rPr/>
        <w:t xml:space="preserve">Préciser la nature du ciment et justifier la conformité à la norme NF EN 206+A2/CN.</w:t>
      </w:r>
    </w:p>
    <w:p>
      <w:pPr>
        <w:ind w:left="720" w:right="0"/>
      </w:pPr>
      <w:r>
        <w:rPr>
          <w:rStyle w:val="font_h2"/>
        </w:rPr>
        <w:t xml:space="preserve">3.2. Description des éléments</w:t>
      </w:r>
    </w:p>
    <w:p>
      <w:pPr>
        <w:ind w:left="1440" w:right="0"/>
      </w:pPr>
      <w:r>
        <w:rPr>
          <w:rStyle w:val="font_h3"/>
        </w:rPr>
        <w:t xml:space="preserve">3.2.1. Poutrelles</w:t>
      </w:r>
    </w:p>
    <w:p>
      <w:pPr/>
      <w:r>
        <w:rPr/>
        <w:t xml:space="preserve">Validé par le Groupe Spécialisé le 08/10/2019</w:t>
      </w:r>
    </w:p>
    <w:p>
      <w:pPr/>
      <w:r>
        <w:rPr>
          <w:b/>
          <w:bCs/>
        </w:rPr>
        <w:t xml:space="preserve">Description</w:t>
      </w:r>
    </w:p>
    <w:p>
      <w:pPr/>
      <w:r>
        <w:rPr/>
        <w:t xml:space="preserve">Description de la gamme d’armatures en treillis des poutrelles:</w:t>
      </w:r>
    </w:p>
    <w:p>
      <w:pPr>
        <w:pPr/>
        <w:numPr>
          <w:ilvl w:val="0"/>
          <w:numId w:val="10"/>
        </w:numPr>
      </w:pPr>
      <w:r>
        <w:rPr/>
        <w:t xml:space="preserve">membrure supérieure;</w:t>
      </w:r>
    </w:p>
    <w:p>
      <w:pPr>
        <w:pPr/>
        <w:numPr>
          <w:ilvl w:val="0"/>
          <w:numId w:val="10"/>
        </w:numPr>
      </w:pPr>
      <w:r>
        <w:rPr/>
        <w:t xml:space="preserve">membrure inférieure;</w:t>
      </w:r>
    </w:p>
    <w:p>
      <w:pPr>
        <w:pPr/>
        <w:numPr>
          <w:ilvl w:val="0"/>
          <w:numId w:val="10"/>
        </w:numPr>
      </w:pPr>
      <w:r>
        <w:rPr/>
        <w:t xml:space="preserve">treillis : type et forme du treillis, nombre d’aciers dans chaque membrure, intervalles de diamètres, type de soudure entre treillis et membrures.</w:t>
      </w:r>
    </w:p>
    <w:p>
      <w:pPr/>
      <w:r>
        <w:rPr/>
        <w:t xml:space="preserve">Caractéristiques géométriques des raidisseurs:</w:t>
      </w:r>
    </w:p>
    <w:p>
      <w:pPr>
        <w:pPr/>
        <w:numPr>
          <w:ilvl w:val="0"/>
          <w:numId w:val="11"/>
        </w:numPr>
      </w:pPr>
      <w:r>
        <w:rPr/>
        <w:t xml:space="preserve">hauteurs;</w:t>
      </w:r>
    </w:p>
    <w:p>
      <w:pPr>
        <w:pPr/>
        <w:numPr>
          <w:ilvl w:val="0"/>
          <w:numId w:val="11"/>
        </w:numPr>
      </w:pPr>
      <w:r>
        <w:rPr/>
        <w:t xml:space="preserve">pas entre branches;</w:t>
      </w:r>
    </w:p>
    <w:p>
      <w:pPr>
        <w:pPr/>
        <w:numPr>
          <w:ilvl w:val="0"/>
          <w:numId w:val="11"/>
        </w:numPr>
      </w:pPr>
      <w:r>
        <w:rPr/>
        <w:t xml:space="preserve">angles d’inclinaison des diagonales dans les plans longitudinal et transversal; </w:t>
      </w:r>
    </w:p>
    <w:p>
      <w:pPr>
        <w:pPr/>
        <w:numPr>
          <w:ilvl w:val="0"/>
          <w:numId w:val="11"/>
        </w:numPr>
      </w:pPr>
      <w:r>
        <w:rPr/>
        <w:t xml:space="preserve">largueur maximale en partie basse.</w:t>
      </w:r>
    </w:p>
    <w:p>
      <w:pPr/>
      <w:r>
        <w:rPr/>
        <w:t xml:space="preserve">Forme et dimensions de la section du talon des poutrelles:</w:t>
      </w:r>
    </w:p>
    <w:p>
      <w:pPr>
        <w:pPr/>
        <w:numPr>
          <w:ilvl w:val="0"/>
          <w:numId w:val="12"/>
        </w:numPr>
      </w:pPr>
      <w:r>
        <w:rPr/>
        <w:t xml:space="preserve">rectangulaire;</w:t>
      </w:r>
    </w:p>
    <w:p>
      <w:pPr>
        <w:pPr/>
        <w:numPr>
          <w:ilvl w:val="0"/>
          <w:numId w:val="12"/>
        </w:numPr>
      </w:pPr>
      <w:r>
        <w:rPr/>
        <w:t xml:space="preserve">T renversé (largeurs et hauteurs);</w:t>
      </w:r>
    </w:p>
    <w:p>
      <w:pPr>
        <w:pPr/>
        <w:numPr>
          <w:ilvl w:val="0"/>
          <w:numId w:val="12"/>
        </w:numPr>
      </w:pPr>
      <w:r>
        <w:rPr/>
        <w:t xml:space="preserve">hauteurs totales des poutrelles;</w:t>
      </w:r>
    </w:p>
    <w:p>
      <w:pPr>
        <w:pPr/>
        <w:numPr>
          <w:ilvl w:val="0"/>
          <w:numId w:val="12"/>
        </w:numPr>
      </w:pPr>
      <w:r>
        <w:rPr/>
        <w:t xml:space="preserve">poids des poutrelles (en fonction du raidisseur et du talon);</w:t>
      </w:r>
    </w:p>
    <w:p>
      <w:pPr>
        <w:pPr/>
        <w:numPr>
          <w:ilvl w:val="0"/>
          <w:numId w:val="12"/>
        </w:numPr>
      </w:pPr>
      <w:r>
        <w:rPr/>
        <w:t xml:space="preserve">longueurs des poutrelles.</w:t>
      </w:r>
    </w:p>
    <w:p>
      <w:pPr/>
      <w:r>
        <w:rPr/>
        <w:t xml:space="preserve">Mode de traitement de la partie supérieure du talon des poutrelles suivant le tableau 3 de la norme NF EN 15037-1 ou l’article 6.2.5(2) de la NF EN 1992-1-1, position des armatures (enrobages minimaux), possibilité d’incorporation d’une semelle dans le talon, définition des principes de renforcement des poutrelles à la flexion et à l’effort tranchant, identification de la gamme de poutrelles (principe de dénomination, exemples de dénomination, informations fournies dans le « marquage » des poutrelles pour garantir la traçabilité du produit). Le dossier technique devra comporter un tableau avec le descriptif complet de la gamme de poutrelles (treillis, dimensions du talon, enrobages, renforts, longueurs de poutrelle, …).</w:t>
      </w:r>
    </w:p>
    <w:p>
      <w:pPr/>
      <w:r>
        <w:rPr>
          <w:b/>
          <w:bCs/>
        </w:rPr>
        <w:t xml:space="preserve">Justification</w:t>
      </w:r>
    </w:p>
    <w:p>
      <w:pPr/>
      <w:r>
        <w:rPr/>
        <w:t xml:space="preserve">Caractéristiques géométriques des poutrelles : </w:t>
      </w:r>
    </w:p>
    <w:p>
      <w:pPr>
        <w:pPr/>
        <w:numPr>
          <w:ilvl w:val="0"/>
          <w:numId w:val="13"/>
        </w:numPr>
      </w:pPr>
      <w:r>
        <w:rPr/>
        <w:t xml:space="preserve">coupe transversale / coupe longitudinale</w:t>
      </w:r>
    </w:p>
    <w:p>
      <w:pPr>
        <w:ind w:left="1440" w:right="0"/>
      </w:pPr>
      <w:r>
        <w:rPr>
          <w:rStyle w:val="font_h3"/>
        </w:rPr>
        <w:t xml:space="preserve">3.2.2. Entrevous</w:t>
      </w:r>
    </w:p>
    <w:p>
      <w:pPr/>
      <w:r>
        <w:rPr/>
        <w:t xml:space="preserve">Validé par le Groupe Spécialisé le 08/10/2019</w:t>
      </w:r>
    </w:p>
    <w:p>
      <w:pPr/>
      <w:r>
        <w:rPr>
          <w:b/>
          <w:bCs/>
        </w:rPr>
        <w:t xml:space="preserve">Description</w:t>
      </w:r>
    </w:p>
    <w:p>
      <w:pPr/>
      <w:r>
        <w:rPr/>
        <w:t xml:space="preserve">Entrevous en béton et en terre cuite:</w:t>
      </w:r>
    </w:p>
    <w:p>
      <w:pPr>
        <w:pPr/>
        <w:numPr>
          <w:ilvl w:val="0"/>
          <w:numId w:val="14"/>
        </w:numPr>
      </w:pPr>
      <w:r>
        <w:rPr/>
        <w:t xml:space="preserve">Catégories et types d’entrevous (coffrage résistant ou porteur, table de compression incorporée, pleins ou alvéolés, transversaux ou longitudinaux), type de granulats (lourds ou légers) pour les entrevous en béton, masse volumique apparente sèche des entrevous béton à granulats légers, chanfrein transversal dans la paroi supérieure des entrevous à TCI et épaisseur de leur paroi supérieure, largeurs extérieures des entrevous, hauteurs des entrevous, dimensions des parois des entrevous en terre cuite (vérification vis-à-vis des dilatations à l’humidité).</w:t>
      </w:r>
    </w:p>
    <w:p>
      <w:pPr/>
      <w:r>
        <w:rPr/>
        <w:t xml:space="preserve">Entrevous isolants en polystyrène: </w:t>
      </w:r>
    </w:p>
    <w:p>
      <w:pPr>
        <w:pPr/>
        <w:numPr>
          <w:ilvl w:val="0"/>
          <w:numId w:val="15"/>
        </w:numPr>
      </w:pPr>
      <w:r>
        <w:rPr/>
        <w:t xml:space="preserve">Types d’entrevous (découpé, moulé, présence d’une languette, pleins ou alvéolés), hauteurs et largeurs des entrevous (hauteurs coffrantes et entraxes associés aux poutrelles), épaisseurs des éventuelles languettes, finition en sous face, classements de réaction au feu.</w:t>
      </w:r>
    </w:p>
    <w:p>
      <w:pPr/>
      <w:r>
        <w:rPr/>
        <w:t xml:space="preserve">Autres entrevous de coffrage simple spécifiques:</w:t>
      </w:r>
    </w:p>
    <w:p>
      <w:pPr>
        <w:pPr/>
        <w:numPr>
          <w:ilvl w:val="0"/>
          <w:numId w:val="16"/>
        </w:numPr>
      </w:pPr>
      <w:r>
        <w:rPr/>
        <w:t xml:space="preserve">Détail des matériaux constitutifs, formes géométriques transversales et longitudinales (nervures, membranes, …), mode et processus de fabrication, définition de la gamme d’entrevous (définition et identification des différentes qualités d’entrevous ; dimensions géométriques : hauteur, longueur, largeur ; hauteurs coffrantes et entraxes associées aux poutrelles), définition des éventuelles pièces complémentaires (tympans, traitement des points singuliers, …), conditions d’appui sur les poutrelles, poids des entrevous, état de surface des entrevous (adhérence au béton coulé en place, finition en sous-face), épaisseur minimale de béton coulé au-dessus de l’entrevous (épaisseur de la dalle de répartition), principe de jonction entre deux entrevous adjacents, classements de réaction au feu.Pour les entrevous de coffrage simple sensibles à la température (plastique par exemple) : définir une plage de température d’utilisation et les conditions de mise en œuvre associéesPour les entrevous de coffrage simple sensibles à l’humidité (bois par exemple) : détailler les conditions d’appuis des entrevous sur les poutrelles (identification des zones en contact) et spécifier le gonflement admissible en épaisseur de l’entrevous sous l’effet de l’humidité .</w:t>
      </w:r>
    </w:p>
    <w:p>
      <w:pPr/>
      <w:r>
        <w:rPr>
          <w:b/>
          <w:bCs/>
        </w:rPr>
        <w:t xml:space="preserve">Justification</w:t>
      </w:r>
    </w:p>
    <w:p>
      <w:pPr>
        <w:pPr/>
        <w:numPr>
          <w:ilvl w:val="0"/>
          <w:numId w:val="17"/>
        </w:numPr>
      </w:pPr>
      <w:r>
        <w:rPr/>
        <w:t xml:space="preserve">Pour tous les entrevous, justifier de la compatibilité de la forme géométrique et de contour des entrevous avec l'ensemble des poutrelles de la gamme (schémas d'associations poutrelles/entrevous et essais en cas de dérogation au DTU).</w:t>
      </w:r>
    </w:p>
    <w:p>
      <w:pPr>
        <w:pPr/>
        <w:numPr>
          <w:ilvl w:val="0"/>
          <w:numId w:val="17"/>
        </w:numPr>
      </w:pPr>
      <w:r>
        <w:rPr/>
        <w:t xml:space="preserve">Justifier l’intégrité des montages sous l’effet du gonflement admissible en épaisseur de l’entrevous en présence d’humidité en tenant compte des conditions d’appuis des entrevous sur les poutrelles.</w:t>
      </w:r>
    </w:p>
    <w:p>
      <w:pPr/>
      <w:r>
        <w:rPr>
          <w:rStyle w:val="font_h1"/>
        </w:rPr>
        <w:t xml:space="preserve">4. Fabrication des poutrelles</w:t>
      </w:r>
    </w:p>
    <w:p>
      <w:pPr>
        <w:ind w:left="720" w:right="0"/>
      </w:pPr>
      <w:r>
        <w:rPr>
          <w:rStyle w:val="font_h2"/>
        </w:rPr>
        <w:t xml:space="preserve">4.1. Fabrication des poutrelles en usine</w:t>
      </w:r>
    </w:p>
    <w:p>
      <w:pPr/>
      <w:r>
        <w:rPr/>
        <w:t xml:space="preserve">Validé par le Groupe Spécialisé le 08/10/2019</w:t>
      </w:r>
    </w:p>
    <w:p>
      <w:pPr/>
      <w:r>
        <w:rPr>
          <w:b/>
          <w:bCs/>
        </w:rPr>
        <w:t xml:space="preserve">Description</w:t>
      </w:r>
    </w:p>
    <w:p>
      <w:pPr/>
      <w:r>
        <w:rPr/>
        <w:t xml:space="preserve">Équipements (moules, machines à production continue, …), mode de fabrication des raidisseurs (façonnage, pliage, soudure, longueur standard, …), description de l’enrobage de la membrure inférieure (découpe, bétonnage, démoulage, …).</w:t>
      </w:r>
    </w:p>
    <w:p>
      <w:pPr/>
      <w:r>
        <w:rPr/>
        <w:t xml:space="preserve">Les armatures de renforts disposées dans le talon des poutrelles treillis non certifiées doivent être rendues visibles. Dans ce cas, la solution adoptée doit être décrite.</w:t>
      </w:r>
    </w:p>
    <w:p>
      <w:pPr/>
      <w:r>
        <w:rPr>
          <w:b/>
          <w:bCs/>
        </w:rPr>
        <w:t xml:space="preserve">Justification</w:t>
      </w:r>
    </w:p>
    <w:p>
      <w:pPr>
        <w:pPr/>
        <w:numPr>
          <w:ilvl w:val="0"/>
          <w:numId w:val="18"/>
        </w:numPr>
      </w:pPr>
      <w:r>
        <w:rPr/>
        <w:t xml:space="preserve">Une dénomination commerciale doit être associée à une géométrie de poutrelle unique (section du talon, sections des aciers, nature et caractéristiques des matériaux).</w:t>
      </w:r>
    </w:p>
    <w:p>
      <w:pPr>
        <w:pPr/>
        <w:numPr>
          <w:ilvl w:val="0"/>
          <w:numId w:val="18"/>
        </w:numPr>
      </w:pPr>
      <w:r>
        <w:rPr/>
        <w:t xml:space="preserve">Description du processus de fabrication et schémas illustrant les cales d’abouts et les cales intermédiaires.</w:t>
      </w:r>
    </w:p>
    <w:p>
      <w:pPr/>
      <w:r>
        <w:rPr>
          <w:rStyle w:val="font_h1"/>
        </w:rPr>
        <w:t xml:space="preserve">5. Contrôle de production</w:t>
      </w:r>
    </w:p>
    <w:p>
      <w:pPr>
        <w:ind w:left="720" w:right="0"/>
      </w:pPr>
      <w:r>
        <w:rPr>
          <w:rStyle w:val="font_h2"/>
        </w:rPr>
        <w:t xml:space="preserve">5.1. Poutrelles treillis</w:t>
      </w:r>
    </w:p>
    <w:p>
      <w:pPr/>
      <w:r>
        <w:rPr/>
        <w:t xml:space="preserve">Validé par le Groupe Spécialisé le 08/10/2019</w:t>
      </w:r>
    </w:p>
    <w:p>
      <w:pPr/>
      <w:r>
        <w:rPr>
          <w:b/>
          <w:bCs/>
        </w:rPr>
        <w:t xml:space="preserve">Description</w:t>
      </w:r>
    </w:p>
    <w:p>
      <w:pPr/>
      <w:r>
        <w:rPr/>
        <w:t xml:space="preserve">Description du contrôle interne mis en place sur la fabrication des poutrelles (exigences de contrôle à définir : qualité des soudures, tolérances dimensionnelles, enrobages, qualité du béton, résistance mécanique en situation transitoire, …).</w:t>
      </w:r>
    </w:p>
    <w:p>
      <w:pPr/>
      <w:r>
        <w:rPr/>
        <w:t xml:space="preserve">Description du dispositif de contrôle mis en place dans la fabrication des entrevous spécifiques (caractéristiques géométriques et mécaniques, matière première, fréquence des contrôles).</w:t>
      </w:r>
    </w:p>
    <w:p>
      <w:pPr/>
      <w:r>
        <w:rPr>
          <w:b/>
          <w:bCs/>
        </w:rPr>
        <w:t xml:space="preserve">Justification</w:t>
      </w:r>
    </w:p>
    <w:p>
      <w:pPr>
        <w:pPr/>
        <w:numPr>
          <w:ilvl w:val="0"/>
          <w:numId w:val="19"/>
        </w:numPr>
      </w:pPr>
      <w:r>
        <w:rPr/>
        <w:t xml:space="preserve">Possibilité de déclarer une tolérance de positionnement latéral du raidisseur inférieure à « +/- 10 mm » pour des poutrelles faisant l’objet ou non d’une certification de type NF sous réserve de justifier:</w:t>
      </w:r>
    </w:p>
    <w:p>
      <w:pPr>
        <w:pPr/>
        <w:numPr>
          <w:ilvl w:val="1"/>
          <w:numId w:val="19"/>
        </w:numPr>
      </w:pPr>
      <w:r>
        <w:rPr/>
        <w:t xml:space="preserve">la maîtrise de cette tolérance par le système de calage adopté (à détailler dans le dossier technique);</w:t>
      </w:r>
    </w:p>
    <w:p>
      <w:pPr>
        <w:pPr/>
        <w:numPr>
          <w:ilvl w:val="1"/>
          <w:numId w:val="19"/>
        </w:numPr>
      </w:pPr>
      <w:r>
        <w:rPr/>
        <w:t xml:space="preserve">le respect du critère de 30 mm entre la diagonale du raidisseur et l’extrémité du talon mesurée sur la surface du talon</w:t>
      </w:r>
    </w:p>
    <w:p>
      <w:pPr>
        <w:pPr/>
        <w:numPr>
          <w:ilvl w:val="0"/>
          <w:numId w:val="19"/>
        </w:numPr>
      </w:pPr>
      <w:r>
        <w:rPr/>
        <w:t xml:space="preserve">Possibilité de déclarer une tolérance de pose verticale du raidisseur de « -1 /+5 mm » pour les poutrelles non certifiées NF ou équivalent moyennant la mise en place de cales avec un espacement maximum de 2,50 m et avec un minimum de deux cales par poutrelle.</w:t>
      </w:r>
    </w:p>
    <w:p>
      <w:pPr>
        <w:pPr/>
        <w:numPr>
          <w:ilvl w:val="0"/>
          <w:numId w:val="19"/>
        </w:numPr>
      </w:pPr>
      <w:r>
        <w:rPr/>
        <w:t xml:space="preserve">La fabrication de l’armature métallique en treillis doit faire l’objet d’un autocontrôle surveillé (par un organisme tiers) de type référentiel de certification NF armatures. Les poutrelles doivent faire l’objet d’un contrôle (avec intervention d’un organisme tiers) suivant les prescriptions de la norme NF EN 15037-1 (marquage CE).</w:t>
      </w:r>
    </w:p>
    <w:p>
      <w:pPr>
        <w:pPr/>
        <w:numPr>
          <w:ilvl w:val="0"/>
          <w:numId w:val="19"/>
        </w:numPr>
      </w:pPr>
      <w:r>
        <w:rPr/>
        <w:t xml:space="preserve">Les entrevous de coffrage simple devront faire l’objet d’un suivi de production de type certification NF « Entrevous de coffrage simple » (les contrôles mis en place devront suivre les exigences techniques du référentiel de certification NF).Les poutrelles peuvent également faire l’objet d’un suivi de production de type NF-Poutrelles (suivant les prescriptions du référentiel NF 395).</w:t>
      </w:r>
    </w:p>
    <w:p>
      <w:pPr>
        <w:pPr/>
        <w:numPr>
          <w:ilvl w:val="0"/>
          <w:numId w:val="19"/>
        </w:numPr>
      </w:pPr>
      <w:r>
        <w:rPr/>
        <w:t xml:space="preserve">Dans le cadre de la justification du respect du critère de 30 mm entre la diagonale du raidisseur et l’extrémité du talon mesurée sur la surface du talon, il convient de détailler les contrôles et les tolérances admissibles pour la vérification de la rectitude latérale des treillis raidisseurs.</w:t>
      </w:r>
    </w:p>
    <w:p>
      <w:pPr>
        <w:ind w:left="720" w:right="0"/>
      </w:pPr>
      <w:r>
        <w:rPr>
          <w:rStyle w:val="font_h2"/>
        </w:rPr>
        <w:t xml:space="preserve">5.2. Entrevous</w:t>
      </w:r>
    </w:p>
    <w:p>
      <w:pPr/>
      <w:r>
        <w:rPr/>
        <w:t xml:space="preserve">Validé par le Groupe Spécialisé le 08/10/2019</w:t>
      </w:r>
    </w:p>
    <w:p>
      <w:pPr/>
      <w:r>
        <w:rPr>
          <w:b/>
          <w:bCs/>
        </w:rPr>
        <w:t xml:space="preserve">Description</w:t>
      </w:r>
    </w:p>
    <w:p>
      <w:pPr/>
      <w:r>
        <w:rPr/>
        <w:t xml:space="preserve">Description du dispositif de contrôle mis en place dans la fabrication des entrevous spécifiques (caractéristiques géométriques et mécaniques, matière première, fréquence des contrôles).</w:t>
      </w:r>
    </w:p>
    <w:p>
      <w:pPr/>
      <w:r>
        <w:rPr/>
        <w:t xml:space="preserve">Les entrevous de coffrage simple devront faire l’objet d’un suivi de production NF « Entrevous en polystyrène expansé et entrevous légers de coffrage simple» ou équivalent.</w:t>
      </w:r>
    </w:p>
    <w:p>
      <w:pPr/>
      <w:r>
        <w:rPr>
          <w:b/>
          <w:bCs/>
        </w:rPr>
        <w:t xml:space="preserve">Justification</w:t>
      </w:r>
    </w:p>
    <w:p>
      <w:pPr/>
      <w:r>
        <w:rPr/>
        <w:t xml:space="preserve">Schémas d’entrevous : </w:t>
      </w:r>
    </w:p>
    <w:p>
      <w:pPr>
        <w:pPr/>
        <w:numPr>
          <w:ilvl w:val="0"/>
          <w:numId w:val="20"/>
        </w:numPr>
      </w:pPr>
      <w:r>
        <w:rPr/>
        <w:t xml:space="preserve">coupes transversale et longitudinale. Détail des pièces complémentaires associées aux entrevous spécifiques (tympans, …).</w:t>
      </w:r>
    </w:p>
    <w:p>
      <w:pPr/>
      <w:r>
        <w:rPr>
          <w:rStyle w:val="font_h1"/>
        </w:rPr>
        <w:t xml:space="preserve">6. Mise en œuvre</w:t>
      </w:r>
    </w:p>
    <w:p>
      <w:pPr/>
      <w:r>
        <w:rPr/>
        <w:t xml:space="preserve">Validé par le Groupe Spécialisé le 08/10/2019</w:t>
      </w:r>
    </w:p>
    <w:p>
      <w:pPr/>
      <w:r>
        <w:rPr>
          <w:b/>
          <w:bCs/>
        </w:rPr>
        <w:t xml:space="preserve">Description</w:t>
      </w:r>
    </w:p>
    <w:p>
      <w:pPr/>
      <w:r>
        <w:rPr/>
        <w:t xml:space="preserve">Description de la chronologie de mise en œuvre du plancher : préparation des appuis, réglage de l’entraxe et pose des poutrelles, étaiement éventuel (description des dispositifs d’étaiement), ferraillage, bétonnage (définition de l’épaisseur minimale de la dalle de compression au-dessus des entrevous et des poutrelles) ; traitement des points singuliers (trémies, encorbellements,…).</w:t>
      </w:r>
    </w:p>
    <w:p>
      <w:pPr/>
      <w:r>
        <w:rPr/>
        <w:t xml:space="preserve">Description des plans de pose types (contenu, calepinage, nomenclature).</w:t>
      </w:r>
    </w:p>
    <w:p>
      <w:pPr/>
      <w:r>
        <w:rPr/>
        <w:t xml:space="preserve">Chronologie de mise en œuvre des planchers avec entrevous spécifiques : détail des spécificités relative à la mise en place des entrevous (chronologie de pose pour une travée courante) ; précautions particulières d’étaiement (ex : entrevous à languette) ; conditions d’appuis des entrevous sur les murs porteurs.</w:t>
      </w:r>
    </w:p>
    <w:p>
      <w:pPr/>
      <w:r>
        <w:rPr>
          <w:b/>
          <w:bCs/>
        </w:rPr>
        <w:t xml:space="preserve">Justification</w:t>
      </w:r>
    </w:p>
    <w:p>
      <w:pPr/>
      <w:r>
        <w:rPr/>
        <w:t xml:space="preserve">Détails des conditions d’appuis minimales des poutrelles.</w:t>
      </w:r>
    </w:p>
    <w:p>
      <w:pPr/>
      <w:r>
        <w:rPr>
          <w:rStyle w:val="font_h1"/>
        </w:rPr>
        <w:t xml:space="preserve">7. Finitions</w:t>
      </w:r>
    </w:p>
    <w:p>
      <w:pPr/>
      <w:r>
        <w:rPr/>
        <w:t xml:space="preserve">Validé par le Groupe Spécialisé le 08/10/2019</w:t>
      </w:r>
    </w:p>
    <w:p>
      <w:pPr/>
      <w:r>
        <w:rPr>
          <w:b/>
          <w:bCs/>
        </w:rPr>
        <w:t xml:space="preserve">Description</w:t>
      </w:r>
    </w:p>
    <w:p>
      <w:pPr/>
      <w:r>
        <w:rPr/>
        <w:t xml:space="preserve">Description des finitions possibles de revêtements de sol et de plafonds.</w:t>
      </w:r>
    </w:p>
    <w:p>
      <w:pPr/>
      <w:r>
        <w:rPr>
          <w:rStyle w:val="font_h1"/>
        </w:rPr>
        <w:t xml:space="preserve">8. Conception et calculs</w:t>
      </w:r>
    </w:p>
    <w:p>
      <w:pPr>
        <w:ind w:left="720" w:right="0"/>
      </w:pPr>
      <w:r>
        <w:rPr>
          <w:rStyle w:val="font_h2"/>
        </w:rPr>
        <w:t xml:space="preserve">8.1. Généralités</w:t>
      </w:r>
    </w:p>
    <w:p>
      <w:pPr/>
      <w:r>
        <w:rPr/>
        <w:t xml:space="preserve">Validé par le Groupe Spécialisé le 08/10/2019</w:t>
      </w:r>
    </w:p>
    <w:p>
      <w:pPr/>
      <w:r>
        <w:rPr>
          <w:b/>
          <w:bCs/>
        </w:rPr>
        <w:t xml:space="preserve">Description</w:t>
      </w:r>
    </w:p>
    <w:p>
      <w:pPr/>
      <w:r>
        <w:rPr/>
        <w:t xml:space="preserve">Détail des hypothèses particulières prises en compte dans le calcul en complément des prescriptions de la norme NF P19-205 « Planchers à poutrelles » : cas d’un plancher avec BAP (suivant le volume de granulats), vérification en flexion à l’ELS (coefficients d’équivalence, résistance à la traction du béton : valeurs résultant des essais direct,…), vérification en flexion à l’ELU (résistance à la compression du béton : valeur résultant des essais direct, valeur de calcul de la résistance en compression du matériau le plus faible dans la membrure comprimée,…), contraintes de calcul de cisaillement à l’interface (coefficients c et μ en fonction de l’état de surface, longueurs des contours de liaison en fonction de la nature de l’entrevous et du type de poutrelle), contraintes de cisaillement à l’ELU sur le béton de poutrelle et sur le béton de chantier , cas des montages avec entrevous particuliers (sections transversales à prendre en compte dans le calcul, définition des contours de liaison,…).</w:t>
      </w:r>
    </w:p>
    <w:p>
      <w:pPr>
        <w:ind w:left="720" w:right="0"/>
      </w:pPr>
      <w:r>
        <w:rPr>
          <w:rStyle w:val="font_h2"/>
        </w:rPr>
        <w:t xml:space="preserve">8.2. Phase provisoire</w:t>
      </w:r>
    </w:p>
    <w:p>
      <w:pPr/>
      <w:r>
        <w:rPr/>
        <w:t xml:space="preserve">Validé par le Groupe Spécialisé le 08/10/2019</w:t>
      </w:r>
    </w:p>
    <w:p>
      <w:pPr/>
      <w:r>
        <w:rPr>
          <w:b/>
          <w:bCs/>
        </w:rPr>
        <w:t xml:space="preserve">Description</w:t>
      </w:r>
    </w:p>
    <w:p>
      <w:pPr/>
      <w:r>
        <w:rPr/>
        <w:t xml:space="preserve">La valeur du moment résistant des poutrelles MRd  est donnée dans la certification produit (certificat NF Poutrelles ou équivalent).Calcul de la valeur de l’effort tranchant résistant des poutrelles VRd,c  suivant le chapitre 9.3.2 de la norme NF P19-205.</w:t>
      </w:r>
    </w:p>
    <w:p>
      <w:pPr/>
      <w:r>
        <w:rPr>
          <w:b/>
          <w:bCs/>
        </w:rPr>
        <w:t xml:space="preserve">Justification</w:t>
      </w:r>
    </w:p>
    <w:p>
      <w:pPr/>
      <w:r>
        <w:rPr/>
        <w:t xml:space="preserve">Le  calcul du VRd,c doit être validé par essais.</w:t>
      </w:r>
    </w:p>
    <w:p>
      <w:pPr>
        <w:ind w:left="720" w:right="0"/>
      </w:pPr>
      <w:r>
        <w:rPr>
          <w:rStyle w:val="font_h2"/>
        </w:rPr>
        <w:t xml:space="preserve">8.3. Phase définitive</w:t>
      </w:r>
    </w:p>
    <w:p>
      <w:pPr>
        <w:ind w:left="1440" w:right="0"/>
      </w:pPr>
      <w:r>
        <w:rPr>
          <w:rStyle w:val="font_h3"/>
        </w:rPr>
        <w:t xml:space="preserve">8.3.1. Détails des hypothèses particulières</w:t>
      </w:r>
    </w:p>
    <w:p>
      <w:pPr/>
      <w:r>
        <w:rPr/>
        <w:t xml:space="preserve">Validé par le Groupe Spécialisé le 08/10/2019</w:t>
      </w:r>
    </w:p>
    <w:p>
      <w:pPr/>
      <w:r>
        <w:rPr>
          <w:b/>
          <w:bCs/>
        </w:rPr>
        <w:t xml:space="preserve">Description</w:t>
      </w:r>
    </w:p>
    <w:p>
      <w:pPr/>
      <w:r>
        <w:rPr/>
        <w:t xml:space="preserve">Détail des hypothèses particulières prises en compte dans le calcul en complément des prescriptions du DTU 23.5: </w:t>
      </w:r>
    </w:p>
    <w:p>
      <w:pPr>
        <w:pPr/>
        <w:numPr>
          <w:ilvl w:val="0"/>
          <w:numId w:val="21"/>
        </w:numPr>
      </w:pPr>
      <w:r>
        <w:rPr/>
        <w:t xml:space="preserve">cas d’un plancher avec BAP (suivant le volume de granulats).</w:t>
      </w:r>
    </w:p>
    <w:p>
      <w:pPr/>
      <w:r>
        <w:rPr/>
        <w:t xml:space="preserve">Vérification en flexion à l’ELU (résistance à la compression du béton) : </w:t>
      </w:r>
    </w:p>
    <w:p>
      <w:pPr>
        <w:pPr/>
        <w:numPr>
          <w:ilvl w:val="0"/>
          <w:numId w:val="22"/>
        </w:numPr>
      </w:pPr>
      <w:r>
        <w:rPr/>
        <w:t xml:space="preserve">valeur résultant des essais direct, valeur de calcul de la résistance en compression du matériau le plus faible dans la membrure comprimée,…), contraintes de calcul de cisaillement à l’interface (coefficients c et μ en fonction de l’état de surface, largeur d’appui des entrevous sur le talon), résistance garantie à rupture des soudures, contraintes de cisaillement à l’ELU sur le béton de chantier, longueur de la ligne de moindre résistance des montages usuels, cas des montages avec entrevous particuliers (sections transversales à prendre en compte dans le calcul,…), prise en compte de clips dans le talon.</w:t>
      </w:r>
    </w:p>
    <w:p>
      <w:pPr/>
      <w:r>
        <w:rPr>
          <w:b/>
          <w:bCs/>
        </w:rPr>
        <w:t xml:space="preserve">Justification</w:t>
      </w:r>
    </w:p>
    <w:p>
      <w:pPr/>
      <w:r>
        <w:rPr/>
        <w:t xml:space="preserve">Coupes type des montages de plancher avec les différents entrevous  (dalle de répartition).</w:t>
      </w:r>
    </w:p>
    <w:p>
      <w:pPr>
        <w:ind w:left="1440" w:right="0"/>
      </w:pPr>
      <w:r>
        <w:rPr>
          <w:rStyle w:val="font_h3"/>
        </w:rPr>
        <w:t xml:space="preserve">8.3.2. Calcul des caractéristiques géométriques et mécaniques</w:t>
      </w:r>
    </w:p>
    <w:p>
      <w:pPr/>
      <w:r>
        <w:rPr/>
        <w:t xml:space="preserve">Validé par le Groupe Spécialisé le 08/10/2019</w:t>
      </w:r>
    </w:p>
    <w:p>
      <w:pPr/>
      <w:r>
        <w:rPr>
          <w:b/>
          <w:bCs/>
        </w:rPr>
        <w:t xml:space="preserve">Description</w:t>
      </w:r>
    </w:p>
    <w:p>
      <w:pPr/>
      <w:r>
        <w:rPr/>
        <w:t xml:space="preserve">Calcul des caractéristiques géométriques et mécaniques des différents montages jugés représentatifs :</w:t>
      </w:r>
    </w:p>
    <w:p>
      <w:pPr>
        <w:pPr/>
        <w:numPr>
          <w:ilvl w:val="0"/>
          <w:numId w:val="23"/>
        </w:numPr>
      </w:pPr>
      <w:r>
        <w:rPr/>
        <w:t xml:space="preserve">Montages à considérer: entrevous en béton (2 hauteurs : 12 ou 13 cm ET 15 ou 16 ou 17 cm) ; entrevous génériques en PSE (12 ou 13 cm ET 15 ou 16 ou 17 cm) ; entrevous spécifiques (12 ou 13 cm ET 15 ou 16 ou 17 cm) / Poutrelles associées aux entrevous cités ci-avant : 4 ferraillages par hauteur de raidisseur compatible (avec intégration de la configuration donnant la portée d’utilisation maximale).</w:t>
      </w:r>
    </w:p>
    <w:p>
      <w:pPr>
        <w:pPr/>
        <w:numPr>
          <w:ilvl w:val="0"/>
          <w:numId w:val="23"/>
        </w:numPr>
      </w:pPr>
      <w:r>
        <w:rPr/>
        <w:t xml:space="preserve">Caractéristiques géométriques et mécaniques de chaque montage pour les formes enveloppes des contours d’entrevous définis dans le Dossier Technique : hauteur, entraxe, poids mort, module d’élasticité du béton de référence, moment d’inertie uniforme de la section non fissurée, moment d’inertie uniforme de la section totalement fissurée, bras de levier de la section à l’ELU, moment résistant ultime, efforts tranchant limites ultimes.</w:t>
      </w:r>
    </w:p>
    <w:p>
      <w:pPr/>
      <w:r>
        <w:rPr>
          <w:b/>
          <w:bCs/>
        </w:rPr>
        <w:t xml:space="preserve">Justification</w:t>
      </w:r>
    </w:p>
    <w:p>
      <w:pPr/>
      <w:r>
        <w:rPr/>
        <w:t xml:space="preserve">Schémas d’association poutrelles-entrevous : </w:t>
      </w:r>
    </w:p>
    <w:p>
      <w:pPr>
        <w:pPr/>
        <w:numPr>
          <w:ilvl w:val="0"/>
          <w:numId w:val="24"/>
        </w:numPr>
      </w:pPr>
      <w:r>
        <w:rPr/>
        <w:t xml:space="preserve">Définition des formes enveloppes des entrevous compatibles</w:t>
      </w:r>
    </w:p>
    <w:p>
      <w:pPr/>
      <w:r>
        <w:rPr/>
        <w:t xml:space="preserve">Caractéristiques des treillis de poutrelles : Le Dossier Technique devra faire l’objet d’un tableau des caractéristiques des treillis de poutrelles avec les données suivantes : géométrie du treillis raidisseur (diamètre inférieur, supérieur et diagonale), angles (α, α’ et β), FD, R, Pas, ρa, ρa’, C et G.</w:t>
      </w:r>
    </w:p>
    <w:p>
      <w:pPr/>
      <w:r>
        <w:rPr/>
        <w:t xml:space="preserve">Tableau des valeurs d’utilisation : les valeurs d’utilisation devront être calculées et présentées dans un tableau. Le tableau devra faire apparaître les données suivantes : poids mort de la poutrelle, hauteur du treillis, diamètre (inférieur, supérieur et diagonale) du treillis, renfort dans le talon, renfort sur talon, Ecm, Iuc, Ifc, Z, Vwu, Vc’u, ,Vdu et MRd.</w:t>
      </w:r>
    </w:p>
    <w:p>
      <w:pPr/>
      <w:r>
        <w:rPr/>
        <w:t xml:space="preserve">Le Groupe Spécialisé attend que les valeurs d’utilisation correspondent aux configurations de ferraillage maximum envisagé y compris renfort éventuel sur talon.</w:t>
      </w:r>
    </w:p>
    <w:p>
      <w:pPr>
        <w:ind w:left="1440" w:right="0"/>
      </w:pPr>
      <w:r>
        <w:rPr>
          <w:rStyle w:val="font_h3"/>
        </w:rPr>
        <w:t xml:space="preserve">8.3.3. Portées limites</w:t>
      </w:r>
    </w:p>
    <w:p>
      <w:pPr/>
      <w:r>
        <w:rPr/>
        <w:t xml:space="preserve">Validé par le Groupe Spécialisé le 08/10/2019</w:t>
      </w:r>
    </w:p>
    <w:p>
      <w:pPr/>
      <w:r>
        <w:rPr>
          <w:b/>
          <w:bCs/>
        </w:rPr>
        <w:t xml:space="preserve">Description</w:t>
      </w:r>
    </w:p>
    <w:p>
      <w:pPr/>
      <w:r>
        <w:rPr/>
        <w:t xml:space="preserve">Détermination des portées limites des montages les plus usuels cités ci-dessus suivant les hypothèses et le cas de chargement suivant : classe d’exposition XC1, cloisons très légères (non fragiles) gv = 0.40kN/m² (gp=0); revêtements de sol (fragiles) et plafonds ga=1kN/m² ; charge d’exploitation (habitation) Qb =1,5kN/m² ; gq = 0.5ψ2.Qb ; q = (1-0.5 ψ2).Qb ; limitation de la flèche active à L/500 ; limitation de la flèche totale sous charges quasi-permanentes à L/250; durée entre le retrait des étais et la mise en œuvre du revêtement de sol fragile t=90 jours. Calculs à réaliser pour une travée isostatique et une travée de rive en continuité en distinguant les poutrelles avec et sans renfort à l’effort tranchant.</w:t>
      </w:r>
    </w:p>
    <w:p>
      <w:pPr/>
      <w:r>
        <w:rPr>
          <w:b/>
          <w:bCs/>
        </w:rPr>
        <w:t xml:space="preserve">Justification</w:t>
      </w:r>
    </w:p>
    <w:p>
      <w:pPr/>
      <w:r>
        <w:rPr/>
        <w:t xml:space="preserve">Les portées limites affichées pour un montage avec une poutrelle donnée doivent être en cohérence avec les longueurs de poutrelles fabriquées et affichées dans les tableaux de définition de la gamme. Il doit être possible de réaliser le montage considéré avec une poutrelle de la même gamme et présentant un ferraillage au moins égal.</w:t>
      </w:r>
    </w:p>
    <w:p>
      <w:pPr/>
      <w:r>
        <w:rPr/>
        <w:t xml:space="preserve">Tableau des portées limites : Les portées limites devront faire l’objet d’un tableau avec indications des portées de référence maximum pour chaque montage et des limitations.</w:t>
      </w:r>
    </w:p>
    <w:p>
      <w:pPr>
        <w:ind w:left="720" w:right="0"/>
      </w:pPr>
      <w:r>
        <w:rPr>
          <w:rStyle w:val="font_h2"/>
        </w:rPr>
        <w:t xml:space="preserve">8.4. Cas particulier des poutrelles treillis à talon précontraint</w:t>
      </w:r>
    </w:p>
    <w:p>
      <w:pPr/>
      <w:r>
        <w:rPr/>
        <w:t xml:space="preserve">Validé par le Groupe Spécialisé le 26/01/2023</w:t>
      </w:r>
    </w:p>
    <w:p>
      <w:pPr/>
      <w:r>
        <w:rPr>
          <w:b/>
          <w:bCs/>
        </w:rPr>
        <w:t xml:space="preserve">Description</w:t>
      </w:r>
    </w:p>
    <w:p>
      <w:pPr>
        <w:pPr/>
        <w:numPr>
          <w:ilvl w:val="0"/>
          <w:numId w:val="25"/>
        </w:numPr>
      </w:pPr>
      <w:r>
        <w:rPr/>
        <w:t xml:space="preserve">Phase provisoire</w:t>
      </w:r>
    </w:p>
    <w:p>
      <w:pPr/>
      <w:r>
        <w:rPr/>
        <w:t xml:space="preserve">Les paramètres de calculs (EI) doivent être déterminés sur des portées représentatives des portées de mise en oeuvre afin de correspondre à un état fissuré. </w:t>
      </w:r>
    </w:p>
    <w:p>
      <w:pPr>
        <w:pPr/>
        <w:numPr>
          <w:ilvl w:val="0"/>
          <w:numId w:val="26"/>
        </w:numPr>
      </w:pPr>
      <w:r>
        <w:rPr/>
        <w:t xml:space="preserve">Phase définitive</w:t>
      </w:r>
    </w:p>
    <w:p>
      <w:pPr/>
      <w:r>
        <w:rPr/>
        <w:t xml:space="preserve">Si la méthode de calcul proposée ne permet de vérifier les exigences applicables aux poutrelles en béton précontraint (limitation des contraintes du talon notamment), la méthode de calcul doit être validée par comparaison à un calcul rigoureux suivant l'EC2 tenant compte des pertes de précontrainte aux différentes phases et des vérifications à chacune de celles-ci.Il est proposé de retenir le phasage suivant : pose des poutrelles à 7 jours, coulage du plancher à 7 jours, prise du béton de la table de compression à 9 jours (7+2), retrait des étais à 37 jours (9+28) le cas échéant, mise en service 60 jours.</w:t>
      </w:r>
    </w:p>
    <w:p>
      <w:pPr/>
      <w:r>
        <w:rPr/>
        <w:t xml:space="preserve">Le domaine d'application de la méthode de calcul doit être formulé au regard des classes d'exposition. L’utilisation en plancher sur vide-sanitaire relève de la classe d’exposition XC3. Dans ce cas, il convient de justifier de la non-décompression de la fibre inférieure sous combinaison de charges QP. Toutefois, il est possible de déterminer l’enrobage en retenant une classe d’exposition XC1. La définition du vide-sanitaire ventilé à considérer est celle du DTU 20.1.</w:t>
      </w:r>
    </w:p>
    <w:p>
      <w:pPr/>
      <w:r>
        <w:rPr>
          <w:rStyle w:val="font_h1"/>
        </w:rPr>
        <w:t xml:space="preserve">9. Séisme</w:t>
      </w:r>
    </w:p>
    <w:p>
      <w:pPr/>
      <w:r>
        <w:rPr/>
        <w:t xml:space="preserve">Validé par le Groupe Spécialisé le 08/10/2019</w:t>
      </w:r>
    </w:p>
    <w:p>
      <w:pPr/>
      <w:r>
        <w:rPr>
          <w:b/>
          <w:bCs/>
        </w:rPr>
        <w:t xml:space="preserve">Description</w:t>
      </w:r>
    </w:p>
    <w:p>
      <w:pPr/>
      <w:r>
        <w:rPr/>
        <w:t xml:space="preserve">Les dérogations aux prescriptions du DTU 23.5 (épaisseur de la dalle de répartition, vérification du monolithisme des nervures, …) devront être justifiées par la réalisation d’études et/ou d’essais.</w:t>
      </w:r>
    </w:p>
    <w:p>
      <w:pPr/>
      <w:r>
        <w:rPr>
          <w:b/>
          <w:bCs/>
        </w:rPr>
        <w:t xml:space="preserve">Justification</w:t>
      </w:r>
    </w:p>
    <w:p>
      <w:pPr/>
      <w:r>
        <w:rPr/>
        <w:t xml:space="preserve">Justifications qui devront être fournies sont: </w:t>
      </w:r>
    </w:p>
    <w:p>
      <w:pPr>
        <w:pPr/>
        <w:numPr>
          <w:ilvl w:val="0"/>
          <w:numId w:val="27"/>
        </w:numPr>
      </w:pPr>
      <w:r>
        <w:rPr/>
        <w:t xml:space="preserve">méthode de calcul spécifique;</w:t>
      </w:r>
    </w:p>
    <w:p>
      <w:pPr>
        <w:pPr/>
        <w:numPr>
          <w:ilvl w:val="0"/>
          <w:numId w:val="27"/>
        </w:numPr>
      </w:pPr>
      <w:r>
        <w:rPr/>
        <w:t xml:space="preserve">hypothèses associées.</w:t>
      </w:r>
    </w:p>
    <w:p>
      <w:pPr/>
      <w:r>
        <w:rPr>
          <w:rStyle w:val="font_h1"/>
        </w:rPr>
        <w:t xml:space="preserve">10. Incendie</w:t>
      </w:r>
    </w:p>
    <w:p>
      <w:pPr/>
      <w:r>
        <w:rPr/>
        <w:t xml:space="preserve">Validé par le Groupe Spécialisé le 11/02/2021</w:t>
      </w:r>
    </w:p>
    <w:p>
      <w:pPr/>
      <w:r>
        <w:rPr>
          <w:b/>
          <w:bCs/>
        </w:rPr>
        <w:t xml:space="preserve">Description</w:t>
      </w:r>
    </w:p>
    <w:p>
      <w:pPr/>
      <w:r>
        <w:rPr/>
        <w:t xml:space="preserve">Réaction au feu des montages avec entrevous spécifiques:</w:t>
      </w:r>
    </w:p>
    <w:p>
      <w:pPr>
        <w:pPr/>
        <w:numPr>
          <w:ilvl w:val="0"/>
          <w:numId w:val="28"/>
        </w:numPr>
      </w:pPr>
      <w:r>
        <w:rPr/>
        <w:t xml:space="preserve">Fournir un procès-verbal de classement de réaction au feu sur les entrevous spécifiques (avec qualification du caractère « gouttant » du matériau constitutif ou décision particulière du CECMI);</w:t>
      </w:r>
    </w:p>
    <w:p>
      <w:pPr>
        <w:pPr/>
        <w:numPr>
          <w:ilvl w:val="0"/>
          <w:numId w:val="28"/>
        </w:numPr>
      </w:pPr>
      <w:r>
        <w:rPr/>
        <w:t xml:space="preserve">Détailler les caractéristiques du matériau constitutif : teneur en matière synthétique, conductivité thermique.</w:t>
      </w:r>
    </w:p>
    <w:p>
      <w:pPr/>
      <w:r>
        <w:rPr/>
        <w:t xml:space="preserve">En l'absence de procès-verbal de classement de réaction au feu, cette performance est non déterminée.</w:t>
      </w:r>
    </w:p>
    <w:p>
      <w:pPr/>
      <w:r>
        <w:rPr/>
        <w:t xml:space="preserve">Résistance au feu des montages non traités dans l’Annexe G de la norme NF P19-205 : </w:t>
      </w:r>
    </w:p>
    <w:p>
      <w:pPr>
        <w:pPr/>
        <w:numPr>
          <w:ilvl w:val="0"/>
          <w:numId w:val="29"/>
        </w:numPr>
      </w:pPr>
      <w:r>
        <w:rPr/>
        <w:t xml:space="preserve">Justification de la résistance au feu au cas par cas par une Appréciation de laboratoire agréé.</w:t>
      </w:r>
    </w:p>
    <w:p>
      <w:pPr/>
      <w:r>
        <w:rPr>
          <w:b/>
          <w:bCs/>
        </w:rPr>
        <w:t xml:space="preserve">Justification</w:t>
      </w:r>
    </w:p>
    <w:p>
      <w:pPr/>
      <w:r>
        <w:rPr/>
        <w:t xml:space="preserve">Dans le cas des entrevous en PSE et en référence au </w:t>
      </w:r>
      <w:r>
        <w:rPr>
          <w:i/>
          <w:iCs/>
        </w:rPr>
        <w:t xml:space="preserve">Guide de l'isolation par l'intérieur des bâtiments d'habitation du point de vue des risques en cas d'incendie</w:t>
      </w:r>
      <w:r>
        <w:rPr/>
        <w:t xml:space="preserve"> (CSTB), il convient de produire la preuve du classement de réaction au feu sur le produit et la matière première.</w:t>
      </w:r>
    </w:p>
    <w:p>
      <w:pPr/>
      <w:r>
        <w:rPr>
          <w:rStyle w:val="font_h1"/>
        </w:rPr>
        <w:t xml:space="preserve">11. Acoustique</w:t>
      </w:r>
    </w:p>
    <w:p>
      <w:pPr/>
      <w:r>
        <w:rPr/>
        <w:t xml:space="preserve">Validé par le Groupe Spécialisé le 08/10/2019</w:t>
      </w:r>
    </w:p>
    <w:p>
      <w:pPr/>
      <w:r>
        <w:rPr>
          <w:b/>
          <w:bCs/>
        </w:rPr>
        <w:t xml:space="preserve">Description</w:t>
      </w:r>
    </w:p>
    <w:p>
      <w:pPr/>
      <w:r>
        <w:rPr/>
        <w:t xml:space="preserve">Justification des performances acoustiques (utilisation autre qu’en maison individuelle isolée) : </w:t>
      </w:r>
    </w:p>
    <w:p>
      <w:pPr>
        <w:pPr/>
        <w:numPr>
          <w:ilvl w:val="0"/>
          <w:numId w:val="30"/>
        </w:numPr>
      </w:pPr>
      <w:r>
        <w:rPr/>
        <w:t xml:space="preserve">Caractérisation de la performance acoustique intrinsèque du système (Niveau de bruit d’impact, indice d’affaiblissement acoustique) par essai ou valeurs génériques issues du §15 de la norme NF P19-205.</w:t>
      </w:r>
    </w:p>
    <w:p>
      <w:pPr/>
      <w:r>
        <w:rPr>
          <w:rStyle w:val="font_h1"/>
        </w:rPr>
        <w:t xml:space="preserve">12. Thermique</w:t>
      </w:r>
    </w:p>
    <w:p>
      <w:pPr/>
      <w:r>
        <w:rPr/>
        <w:t xml:space="preserve">Validé par le Groupe Spécialisé le 08/10/2019</w:t>
      </w:r>
    </w:p>
    <w:p>
      <w:pPr/>
      <w:r>
        <w:rPr>
          <w:b/>
          <w:bCs/>
        </w:rPr>
        <w:t xml:space="preserve">Description</w:t>
      </w:r>
    </w:p>
    <w:p>
      <w:pPr/>
      <w:r>
        <w:rPr/>
        <w:t xml:space="preserve">Justification des performances thermiques des montages par essais et/ou par calculs. Pas de justifications particulières si les performances thermiques sont couvertes par le respect des règles Th-Bat.</w:t>
      </w:r>
    </w:p>
    <w:p>
      <w:pPr/>
      <w:r>
        <w:rPr>
          <w:rStyle w:val="font_h1"/>
        </w:rPr>
        <w:t xml:space="preserve">13. Résultats expérimentaux</w:t>
      </w:r>
    </w:p>
    <w:p>
      <w:pPr/>
      <w:r>
        <w:rPr/>
        <w:t xml:space="preserve">Validé par le Groupe Spécialisé le 08/10/2019</w:t>
      </w:r>
    </w:p>
    <w:p>
      <w:pPr/>
      <w:r>
        <w:rPr>
          <w:b/>
          <w:bCs/>
        </w:rPr>
        <w:t xml:space="preserve">Description</w:t>
      </w:r>
    </w:p>
    <w:p>
      <w:pPr/>
      <w:r>
        <w:rPr/>
        <w:t xml:space="preserve">Préciser les références d’études, de rapports d’essais ou de Procès-verbaux de classement de réaction au feu examinés.</w:t>
      </w:r>
    </w:p>
    <w:p>
      <w:pPr/>
      <w:r>
        <w:rPr>
          <w:rStyle w:val="font_h1"/>
        </w:rPr>
        <w:t xml:space="preserve">14. Références</w:t>
      </w:r>
    </w:p>
    <w:p>
      <w:pPr>
        <w:ind w:left="720" w:right="0"/>
      </w:pPr>
      <w:r>
        <w:rPr>
          <w:rStyle w:val="font_h2"/>
        </w:rPr>
        <w:t xml:space="preserve">14.1. Données environnementales et sanitaires</w:t>
      </w:r>
    </w:p>
    <w:p>
      <w:pPr/>
      <w:r>
        <w:rPr/>
        <w:t xml:space="preserve">Validé par le Groupe Spécialisé le 08/10/2019</w:t>
      </w:r>
    </w:p>
    <w:p>
      <w:pPr/>
      <w:r>
        <w:rPr>
          <w:b/>
          <w:bCs/>
        </w:rPr>
        <w:t xml:space="preserve">Description</w:t>
      </w:r>
    </w:p>
    <w:p>
      <w:pPr/>
      <w:r>
        <w:rPr/>
        <w:t xml:space="preserve">Pour revendiquer une performance environnementale, le procédé de plancher à poutrelles doit faire l’objet d’une Déclaration Environnementale (DE) au sens de l’arrêté du 31 aout 2015.Les données issues des DE ont notamment pour objet de servir au calcul des impacts environnementaux des ouvrages dans lesquels les produits (ou procédés) visés sont susceptibles d’être intégrés.</w:t>
      </w:r>
    </w:p>
    <w:p>
      <w:pPr/>
      <w:r>
        <w:rPr>
          <w:b/>
          <w:bCs/>
        </w:rPr>
        <w:t xml:space="preserve">Justification</w:t>
      </w:r>
    </w:p>
    <w:p>
      <w:pPr/>
      <w:r>
        <w:rPr/>
        <w:t xml:space="preserve">Déclaration Environnementale (DE) au sens de l’arrêté du 31 aout 2015.</w:t>
      </w:r>
    </w:p>
    <w:p>
      <w:pPr>
        <w:ind w:left="720" w:right="0"/>
      </w:pPr>
      <w:r>
        <w:rPr>
          <w:rStyle w:val="font_h2"/>
        </w:rPr>
        <w:t xml:space="preserve">14.2. Autres références</w:t>
      </w:r>
    </w:p>
    <w:p>
      <w:pPr/>
      <w:r>
        <w:rPr/>
        <w:t xml:space="preserve">Validé par le Groupe Spécialisé le 08/10/2019</w:t>
      </w:r>
    </w:p>
    <w:p>
      <w:pPr/>
      <w:r>
        <w:rPr>
          <w:b/>
          <w:bCs/>
        </w:rPr>
        <w:t xml:space="preserve">Description</w:t>
      </w:r>
    </w:p>
    <w:p>
      <w:pPr/>
      <w:r>
        <w:rPr/>
        <w:t xml:space="preserve">Fourniture d’une liste de référence pour la réalisation d’une enquête chantier. Les références doivent être représentatives du domaine d’emploi revendiqué. </w:t>
      </w:r>
    </w:p>
    <w:p>
      <w:pPr/>
      <w:r>
        <w:rPr/>
        <w:t xml:space="preserve">Préciser pour chaque référence :</w:t>
      </w:r>
    </w:p>
    <w:p>
      <w:pPr>
        <w:pPr/>
        <w:numPr>
          <w:ilvl w:val="0"/>
          <w:numId w:val="31"/>
        </w:numPr>
      </w:pPr>
      <w:r>
        <w:rPr/>
        <w:t xml:space="preserve">Date mise en œuvre</w:t>
      </w:r>
    </w:p>
    <w:p>
      <w:pPr>
        <w:pPr/>
        <w:numPr>
          <w:ilvl w:val="0"/>
          <w:numId w:val="31"/>
        </w:numPr>
      </w:pPr>
      <w:r>
        <w:rPr/>
        <w:t xml:space="preserve">Date réception</w:t>
      </w:r>
    </w:p>
    <w:p>
      <w:pPr>
        <w:pPr/>
        <w:numPr>
          <w:ilvl w:val="0"/>
          <w:numId w:val="31"/>
        </w:numPr>
      </w:pPr>
      <w:r>
        <w:rPr/>
        <w:t xml:space="preserve">Lieu</w:t>
      </w:r>
    </w:p>
    <w:p>
      <w:pPr>
        <w:pPr/>
        <w:numPr>
          <w:ilvl w:val="0"/>
          <w:numId w:val="31"/>
        </w:numPr>
      </w:pPr>
      <w:r>
        <w:rPr/>
        <w:t xml:space="preserve">Maître d'Ouvrage (nom+ coord.)</w:t>
      </w:r>
    </w:p>
    <w:p>
      <w:pPr>
        <w:pPr/>
        <w:numPr>
          <w:ilvl w:val="0"/>
          <w:numId w:val="31"/>
        </w:numPr>
      </w:pPr>
      <w:r>
        <w:rPr/>
        <w:t xml:space="preserve">Maître d'Œuvre (nom+ coord.)</w:t>
      </w:r>
    </w:p>
    <w:p>
      <w:pPr>
        <w:pPr/>
        <w:numPr>
          <w:ilvl w:val="0"/>
          <w:numId w:val="31"/>
        </w:numPr>
      </w:pPr>
      <w:r>
        <w:rPr/>
        <w:t xml:space="preserve">Entreprise (nom+ coord.)</w:t>
      </w:r>
    </w:p>
    <w:p>
      <w:pPr>
        <w:pPr/>
        <w:numPr>
          <w:ilvl w:val="0"/>
          <w:numId w:val="31"/>
        </w:numPr>
      </w:pPr>
      <w:r>
        <w:rPr/>
        <w:t xml:space="preserve">Contrôleur technique (nom+ coord.)</w:t>
      </w:r>
    </w:p>
    <w:p>
      <w:pPr>
        <w:pPr/>
        <w:numPr>
          <w:ilvl w:val="0"/>
          <w:numId w:val="31"/>
        </w:numPr>
      </w:pPr>
      <w:r>
        <w:rPr/>
        <w:t xml:space="preserve">Rôle du titulaire (fabricant, poseur, etc…)</w:t>
      </w:r>
    </w:p>
    <w:p>
      <w:pPr>
        <w:pPr/>
        <w:numPr>
          <w:ilvl w:val="0"/>
          <w:numId w:val="31"/>
        </w:numPr>
      </w:pPr>
      <w:r>
        <w:rPr/>
        <w:t xml:space="preserve">Type de bâtiment/ouvrage (nb niveaux, super et/ou infra)</w:t>
      </w:r>
    </w:p>
    <w:p>
      <w:pPr>
        <w:pPr/>
        <w:numPr>
          <w:ilvl w:val="0"/>
          <w:numId w:val="31"/>
        </w:numPr>
      </w:pPr>
      <w:r>
        <w:rPr/>
        <w:t xml:space="preserve">Surface/quantité lise en œuvre </w:t>
      </w:r>
    </w:p>
    <w:p>
      <w:pPr>
        <w:pPr/>
        <w:numPr>
          <w:ilvl w:val="0"/>
          <w:numId w:val="31"/>
        </w:numPr>
      </w:pPr>
      <w:r>
        <w:rPr/>
        <w:t xml:space="preserve">Particularités (type de produit, gamme…)</w:t>
      </w:r>
    </w:p>
    <w:p>
      <w:pPr>
        <w:pPr/>
        <w:numPr>
          <w:ilvl w:val="0"/>
          <w:numId w:val="31"/>
        </w:numPr>
      </w:pPr>
      <w:r>
        <w:rPr/>
        <w:t xml:space="preserve">Désordres éventuels/difficultés particulières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AB00A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4A2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951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2F8D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E5DC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9D63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85F3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69D7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11E4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0201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5200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235A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3780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CE38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9895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7F25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6353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2AD9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EC81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FB88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1DE1C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602E9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627D1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2026-02-05T09:22:25+01:00</dcterms:created>
  <dcterms:modified xsi:type="dcterms:W3CDTF">2026-02-05T09:22:25+01:00</dcterms:modified>
</cp:coreProperties>
</file>

<file path=docProps/custom.xml><?xml version="1.0" encoding="utf-8"?>
<Properties xmlns="http://schemas.openxmlformats.org/officeDocument/2006/custom-properties" xmlns:vt="http://schemas.openxmlformats.org/officeDocument/2006/docPropsVTypes"/>
</file>