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structural (hors rupteurs planchers à poutrelles) en ITI :</w:t>
      </w:r>
    </w:p>
    <w:p>
      <w:pPr/>
      <w:r>
        <w:rPr/>
        <w:t xml:space="preserve">Procédé structural constituant une coupure de continuité du gros-œuvre, plus particulièrement entre la façade et la dalle, capable de transmettre des efforts de la dalle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l’Intérieur.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La liste des éléments ci-après traite uniquement de l’aspect structural, évalué par le Groupe Spécialisé n°3.1, pour les zones de sismicité 1 à 4.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Cette liste type vise les ouvrages où les murs de refend participant au contreventement de la structure sont liaisonnés traditionnellement à la façade.</w:t>
      </w:r>
    </w:p>
    <w:p>
      <w:pPr>
        <w:pPr/>
        <w:numPr>
          <w:ilvl w:val="0"/>
          <w:numId w:val="9"/>
        </w:numPr>
      </w:pPr>
      <w:r>
        <w:rPr/>
        <w:t xml:space="preserve">Le repère utilisé dans la suite du document est décrit ci-dessous :</w:t>
      </w:r>
    </w:p>
    <w:p>
      <w:pPr/>
      <w:r>
        <w:pict>
          <v:shape type="#_x0000_t75" style="width:478pt; height:328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Préciser explicitement la gamme de rupteurs visée et le domaine d’utilisation revendiqué :</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l’ouvrage (vis-à-vis des effets du vent et de la dilation thermique) ;</w:t>
      </w:r>
    </w:p>
    <w:p>
      <w:pPr>
        <w:pPr/>
        <w:numPr>
          <w:ilvl w:val="0"/>
          <w:numId w:val="10"/>
        </w:numPr>
      </w:pPr>
      <w:r>
        <w:rPr/>
        <w:t xml:space="preserve">Type de planchers visés (plancher en béton coulé sur place, planchers à prédalles). </w:t>
      </w:r>
      <w:r>
        <w:rPr/>
        <w:t xml:space="preserve">NOTA : L’utilisation d’un plancher à prédalles suspendues pour les ouvrages nécessitant des dispositions parasismiques selon l’Arrêté du 22 octobre 2010 modifié n’est pas visée par le présent document.</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visés (béton armé coulé en place, prédalles, prédalles précontraintes,) ;</w:t>
      </w:r>
    </w:p>
    <w:p>
      <w:pPr>
        <w:pPr/>
        <w:numPr>
          <w:ilvl w:val="0"/>
          <w:numId w:val="10"/>
        </w:numPr>
      </w:pPr>
      <w:r>
        <w:rPr/>
        <w:t xml:space="preserve">Préciser si l’intégralité du linéaire plancher/façade est traitée (système mixte liaison traditionnelle/rupteur thermique) et les distances maximales entre zones non munies de rupteurs le cas échéant.</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11/02/2021</w:t>
      </w:r>
    </w:p>
    <w:p>
      <w:pPr/>
      <w:r>
        <w:rPr>
          <w:b/>
          <w:bCs/>
        </w:rPr>
        <w:t xml:space="preserve">Description</w:t>
      </w:r>
    </w:p>
    <w:p>
      <w:pPr/>
      <w:r>
        <w:rPr/>
        <w:t xml:space="preserve">Description du rupteur :</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produits ;</w:t>
      </w:r>
    </w:p>
    <w:p>
      <w:pPr>
        <w:pPr/>
        <w:numPr>
          <w:ilvl w:val="0"/>
          <w:numId w:val="11"/>
        </w:numPr>
      </w:pPr>
      <w:r>
        <w:rPr/>
        <w:t xml:space="preserve">Définition des matériaux constitutifs (éléments isolants et structuraux) ;</w:t>
      </w:r>
    </w:p>
    <w:p>
      <w:pPr>
        <w:pPr/>
        <w:numPr>
          <w:ilvl w:val="0"/>
          <w:numId w:val="11"/>
        </w:numPr>
      </w:pPr>
      <w:r>
        <w:rPr/>
        <w:t xml:space="preserve">Epaisseurs d’isolant considérées ;</w:t>
      </w:r>
    </w:p>
    <w:p>
      <w:pPr>
        <w:pPr/>
        <w:numPr>
          <w:ilvl w:val="0"/>
          <w:numId w:val="11"/>
        </w:numPr>
      </w:pPr>
      <w:r>
        <w:rPr/>
        <w:t xml:space="preserve">Définition des produits accessoires (angles, trémies, refend, etc.).</w:t>
      </w:r>
    </w:p>
    <w:p>
      <w:pPr>
        <w:ind w:left="720" w:right="0"/>
      </w:pPr>
      <w:r>
        <w:rPr>
          <w:rStyle w:val="font_h2"/>
        </w:rPr>
        <w:t xml:space="preserve">3.2. Isolant</w:t>
      </w:r>
    </w:p>
    <w:p>
      <w:pPr/>
      <w:r>
        <w:rPr/>
        <w:t xml:space="preserve">Validé par le Groupe Spécialisé le 04/02/2021</w:t>
      </w:r>
    </w:p>
    <w:p>
      <w:pPr/>
      <w:r>
        <w:rPr>
          <w:b/>
          <w:bCs/>
        </w:rPr>
        <w:t xml:space="preserve">Description</w:t>
      </w:r>
    </w:p>
    <w:p>
      <w:pPr/>
      <w:r>
        <w:rPr/>
        <w:t xml:space="preserve">JD 19-6 + JD 19-7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Le produit isolant utilisé doit être celui utilisé pour les essais « feu » et APL</w:t>
      </w:r>
    </w:p>
    <w:p>
      <w:pPr/>
      <w:r>
        <w:rPr/>
        <w:t xml:space="preserve">Tableau de contrôles réalisées sur chaque isolant revendiqué :  </w:t>
      </w:r>
    </w:p>
    <w:p>
      <w:pPr>
        <w:pPr/>
        <w:numPr>
          <w:ilvl w:val="0"/>
          <w:numId w:val="13"/>
        </w:numPr>
      </w:pPr>
      <w:r>
        <w:rPr/>
        <w:t xml:space="preserve">En usine : Matière première, pendant la fabrication, sur produit fini  </w:t>
      </w:r>
    </w:p>
    <w:p>
      <w:pPr>
        <w:pPr/>
        <w:numPr>
          <w:ilvl w:val="0"/>
          <w:numId w:val="13"/>
        </w:numPr>
      </w:pPr>
      <w:r>
        <w:rPr/>
        <w:t xml:space="preserve">Par un laboratoire extérieur : thermique, mécanique, …. </w:t>
      </w:r>
    </w:p>
    <w:p>
      <w:pPr/>
      <w:r>
        <w:rPr/>
        <w:t xml:space="preserve">Il doit y être précisé :</w:t>
      </w:r>
    </w:p>
    <w:p>
      <w:pPr>
        <w:pPr/>
        <w:numPr>
          <w:ilvl w:val="0"/>
          <w:numId w:val="14"/>
        </w:numPr>
      </w:pPr>
      <w:r>
        <w:rPr/>
        <w:t xml:space="preserve">Les méthodes d’essais,  </w:t>
      </w:r>
    </w:p>
    <w:p>
      <w:pPr>
        <w:pPr/>
        <w:numPr>
          <w:ilvl w:val="0"/>
          <w:numId w:val="14"/>
        </w:numPr>
      </w:pPr>
      <w:r>
        <w:rPr/>
        <w:t xml:space="preserve">Les fréquences de contrôles,  </w:t>
      </w:r>
    </w:p>
    <w:p>
      <w:pPr>
        <w:pPr/>
        <w:numPr>
          <w:ilvl w:val="0"/>
          <w:numId w:val="14"/>
        </w:numPr>
      </w:pPr>
      <w:r>
        <w:rPr/>
        <w:t xml:space="preserve">Exemple d’étiquette, </w:t>
      </w:r>
    </w:p>
    <w:p>
      <w:pPr>
        <w:pPr/>
        <w:numPr>
          <w:ilvl w:val="0"/>
          <w:numId w:val="14"/>
        </w:numPr>
      </w:pPr>
      <w:r>
        <w:rPr/>
        <w:t xml:space="preserve">Fiche technique pour chaque isolant revendiqué  </w:t>
      </w:r>
    </w:p>
    <w:p>
      <w:pPr>
        <w:pPr/>
        <w:numPr>
          <w:ilvl w:val="1"/>
          <w:numId w:val="14"/>
        </w:numPr>
      </w:pPr>
      <w:r>
        <w:rPr/>
        <w:t xml:space="preserve">Donner les noms des produits isolants utilisés  </w:t>
      </w:r>
    </w:p>
    <w:p>
      <w:pPr>
        <w:pPr/>
        <w:numPr>
          <w:ilvl w:val="0"/>
          <w:numId w:val="14"/>
        </w:numPr>
      </w:pPr>
      <w:r>
        <w:rPr/>
        <w:t xml:space="preserve">DoP pour chaque isolant revendiqué.  </w:t>
      </w:r>
    </w:p>
    <w:p>
      <w:pPr>
        <w:pPr/>
        <w:numPr>
          <w:ilvl w:val="0"/>
          <w:numId w:val="14"/>
        </w:numPr>
      </w:pPr>
      <w:r>
        <w:rPr/>
        <w:t xml:space="preserve">Les isolants revendiqués doivent être compatibles avec l’appréciation laboratoire  </w:t>
      </w:r>
    </w:p>
    <w:p>
      <w:pPr>
        <w:pPr/>
        <w:numPr>
          <w:ilvl w:val="0"/>
          <w:numId w:val="14"/>
        </w:numPr>
      </w:pPr>
      <w:r>
        <w:rPr/>
        <w:t xml:space="preserve">Préciser dans le DTED pour tous les isolants revendiqués :  </w:t>
      </w:r>
    </w:p>
    <w:p>
      <w:pPr>
        <w:pPr/>
        <w:numPr>
          <w:ilvl w:val="1"/>
          <w:numId w:val="14"/>
        </w:numPr>
      </w:pPr>
      <w:r>
        <w:rPr/>
        <w:t xml:space="preserve">Caractéristiques déclarées et utiles (conductivité thermique, résistance thermique, …)  </w:t>
      </w:r>
    </w:p>
    <w:p>
      <w:pPr>
        <w:pPr/>
        <w:numPr>
          <w:ilvl w:val="1"/>
          <w:numId w:val="14"/>
        </w:numPr>
      </w:pPr>
      <w:r>
        <w:rPr/>
        <w:t xml:space="preserve">Etablir une trame de rédaction sur les caractéristiques des isolants  </w:t>
      </w:r>
    </w:p>
    <w:p>
      <w:pPr>
        <w:pPr/>
        <w:numPr>
          <w:ilvl w:val="1"/>
          <w:numId w:val="14"/>
        </w:numPr>
      </w:pPr>
      <w:r>
        <w:rPr/>
        <w:t xml:space="preserve">Epaisseurs  </w:t>
      </w:r>
    </w:p>
    <w:p>
      <w:pPr>
        <w:pPr/>
        <w:numPr>
          <w:ilvl w:val="1"/>
          <w:numId w:val="14"/>
        </w:numPr>
      </w:pPr>
      <w:r>
        <w:rPr/>
        <w:t xml:space="preserve">Masse volumique  </w:t>
      </w:r>
    </w:p>
    <w:p>
      <w:pPr>
        <w:pPr/>
        <w:numPr>
          <w:ilvl w:val="1"/>
          <w:numId w:val="14"/>
        </w:numPr>
      </w:pPr>
      <w:r>
        <w:rPr/>
        <w:t xml:space="preserve">DoP (n°)  </w:t>
      </w:r>
    </w:p>
    <w:p>
      <w:pPr>
        <w:pPr/>
        <w:numPr>
          <w:ilvl w:val="1"/>
          <w:numId w:val="14"/>
        </w:numPr>
      </w:pPr>
      <w:r>
        <w:rPr/>
        <w:t xml:space="preserve">Certificats : n°  </w:t>
      </w:r>
    </w:p>
    <w:p>
      <w:pPr>
        <w:pPr/>
        <w:numPr>
          <w:ilvl w:val="1"/>
          <w:numId w:val="14"/>
        </w:numPr>
      </w:pPr>
      <w:r>
        <w:rPr/>
        <w:t xml:space="preserve">etc.  </w:t>
      </w:r>
    </w:p>
    <w:p>
      <w:pPr>
        <w:pPr/>
        <w:numPr>
          <w:ilvl w:val="0"/>
          <w:numId w:val="15"/>
        </w:numPr>
      </w:pPr>
      <w:r>
        <w:rPr/>
        <w:t xml:space="preserve">Préciser comment est identifié le produit isolant sur le marché : § identification</w:t>
      </w:r>
    </w:p>
    <w:p>
      <w:pPr>
        <w:pPr/>
        <w:numPr>
          <w:ilvl w:val="0"/>
          <w:numId w:val="15"/>
        </w:numPr>
      </w:pPr>
      <w:r>
        <w:rPr/>
        <w:t xml:space="preserve">Le GS20 demande de fermer les procédés : tous les isolants doivent être identifiés et justifiés</w:t>
      </w:r>
    </w:p>
    <w:p>
      <w:pPr>
        <w:pPr/>
        <w:numPr>
          <w:ilvl w:val="0"/>
          <w:numId w:val="15"/>
        </w:numPr>
      </w:pPr>
      <w:r>
        <w:rPr/>
        <w:t xml:space="preserve">Le produit isolant doit être identifié avec sa destination commerciale</w:t>
      </w:r>
    </w:p>
    <w:p>
      <w:pPr/>
      <w:r>
        <w:rPr>
          <w:rStyle w:val="font_h1"/>
        </w:rPr>
        <w:t xml:space="preserve">4.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la valeur-cible, la tolérance et la fréquence de contrôle.</w:t>
      </w:r>
    </w:p>
    <w:p>
      <w:pPr/>
      <w:r>
        <w:rPr/>
        <w:t xml:space="preserve">Préciser comment sont identifiés les produits</w:t>
      </w:r>
    </w:p>
    <w:p>
      <w:pPr/>
      <w:r>
        <w:rPr>
          <w:b/>
          <w:bCs/>
        </w:rPr>
        <w:t xml:space="preserve">Critères d'évaluation</w:t>
      </w:r>
    </w:p>
    <w:p>
      <w:pPr/>
      <w:r>
        <w:rPr/>
        <w:t xml:space="preserve">Les noms et localisations des usines concernées doivent être indiqués dans le Dossier Technique.</w:t>
      </w:r>
    </w:p>
    <w:p>
      <w:pPr/>
      <w:r>
        <w:rPr>
          <w:rStyle w:val="font_h1"/>
        </w:rPr>
        <w:t xml:space="preserve">5.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Décrire  la répartition des rôles entre titulaire, BET Structure, BET Thermique et entreprise chargée de la mise en œuvre.</w:t>
      </w:r>
    </w:p>
    <w:p>
      <w:pPr/>
      <w:r>
        <w:rPr>
          <w:b/>
          <w:bCs/>
        </w:rPr>
        <w:t xml:space="preserve">Justification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r>
        <w:rPr/>
        <w:t xml:space="preserve">Pour les ouvrages où des planchers à prédalles sont utilisés : définition du rôle entre le BET du titulaire, le BET del’opération et le fabricant de prédalles dans la conception et le dimensionnement du noeud prédalle/rupteur etdans l’établissement des documents d’exécution (calepinage des prédalles, intégration des dispositionsspécifiques aux rupteurs, plans de synthèse, …).</w:t>
      </w:r>
    </w:p>
    <w:p>
      <w:pPr/>
      <w:r>
        <w:rPr>
          <w:rStyle w:val="font_h1"/>
        </w:rPr>
        <w:t xml:space="preserve">6.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Conception</w:t>
      </w:r>
    </w:p>
    <w:p>
      <w:pPr>
        <w:ind w:left="720" w:right="0"/>
      </w:pPr>
      <w:r>
        <w:rPr>
          <w:rStyle w:val="font_h2"/>
        </w:rPr>
        <w:t xml:space="preserve">7.1. Préambule</w:t>
      </w:r>
    </w:p>
    <w:p>
      <w:pPr/>
      <w:r>
        <w:rPr/>
        <w:t xml:space="preserve">Validé par le Groupe Spécialisé le 08/10/2019</w:t>
      </w:r>
    </w:p>
    <w:p>
      <w:pPr/>
      <w:r>
        <w:rPr>
          <w:b/>
          <w:bCs/>
        </w:rPr>
        <w:t xml:space="preserve">Description</w:t>
      </w:r>
    </w:p>
    <w:p>
      <w:pPr/>
      <w:r>
        <w:rPr/>
        <w:t xml:space="preserve">Si l’utilisation pour des murs préfabriqués et maçonnerie est visée, des études et dispositions constructives spécifiques sont à prévoir.</w:t>
      </w:r>
    </w:p>
    <w:p>
      <w:pPr/>
      <w:r>
        <w:rPr/>
        <w:t xml:space="preserve">L’insertion de rupteurs dans le bâtiment va modifier le comportement de la structure sur un certain nombre d’aspects qu’il conviendra d’évaluer.</w:t>
      </w:r>
    </w:p>
    <w:p>
      <w:pPr/>
      <w:r>
        <w:rPr/>
        <w:t xml:space="preserve">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On peut proposer, par exemple, l’étude du cas enveloppe ci-dessous :</w:t>
      </w:r>
    </w:p>
    <w:p>
      <w:pPr>
        <w:pPr/>
        <w:numPr>
          <w:ilvl w:val="0"/>
          <w:numId w:val="16"/>
        </w:numPr>
      </w:pPr>
      <w:r>
        <w:rPr/>
        <w:t xml:space="preserve">Utilisation des longueurs entre joints de dilatation, suivant la région, données par l’AnnexeNationale de la norme NF EN 1992-1</w:t>
      </w:r>
    </w:p>
    <w:p>
      <w:pPr>
        <w:pPr/>
        <w:numPr>
          <w:ilvl w:val="0"/>
          <w:numId w:val="16"/>
        </w:numPr>
      </w:pPr>
      <w:r>
        <w:rPr/>
        <w:t xml:space="preserve">Hauteur maxi revendiqué,</w:t>
      </w:r>
    </w:p>
    <w:p>
      <w:pPr>
        <w:pPr/>
        <w:numPr>
          <w:ilvl w:val="0"/>
          <w:numId w:val="16"/>
        </w:numPr>
      </w:pPr>
      <w:r>
        <w:rPr/>
        <w:t xml:space="preserve">Niveau examiné : le dernier niveau</w:t>
      </w:r>
    </w:p>
    <w:p>
      <w:pPr>
        <w:pPr/>
        <w:numPr>
          <w:ilvl w:val="0"/>
          <w:numId w:val="16"/>
        </w:numPr>
      </w:pPr>
      <w:r>
        <w:rPr/>
        <w:t xml:space="preserve">Façades béton 18 cm, refends béton 20 cm, plancher dalle pleine 20 cm ; refends // à la façade</w:t>
      </w:r>
    </w:p>
    <w:p>
      <w:pPr>
        <w:pPr/>
        <w:numPr>
          <w:ilvl w:val="0"/>
          <w:numId w:val="16"/>
        </w:numPr>
      </w:pPr>
      <w:r>
        <w:rPr/>
        <w:t xml:space="preserve">Isolant épaisseur épaisseur du rupteur représentatif du procédé</w:t>
      </w:r>
    </w:p>
    <w:p>
      <w:pPr>
        <w:pPr/>
        <w:numPr>
          <w:ilvl w:val="0"/>
          <w:numId w:val="16"/>
        </w:numPr>
      </w:pPr>
      <w:r>
        <w:rPr/>
        <w:t xml:space="preserve">3 Travées 6.5m + 1.4 + 6.5m</w:t>
      </w:r>
    </w:p>
    <w:p>
      <w:pPr>
        <w:pPr/>
        <w:numPr>
          <w:ilvl w:val="0"/>
          <w:numId w:val="16"/>
        </w:numPr>
      </w:pPr>
      <w:r>
        <w:rPr/>
        <w:t xml:space="preserve">Hauteur d’étage 3 m</w:t>
      </w:r>
    </w:p>
    <w:p>
      <w:pPr>
        <w:pPr/>
        <w:numPr>
          <w:ilvl w:val="0"/>
          <w:numId w:val="16"/>
        </w:numPr>
      </w:pPr>
      <w:r>
        <w:rPr/>
        <w:t xml:space="preserve">Prise en compte des cages d’ascenseur/escalier</w:t>
      </w:r>
    </w:p>
    <w:p>
      <w:pPr>
        <w:pPr/>
        <w:numPr>
          <w:ilvl w:val="0"/>
          <w:numId w:val="16"/>
        </w:numPr>
      </w:pPr>
      <w:r>
        <w:rPr/>
        <w:t xml:space="preserve">Eléments béton C25/30</w:t>
      </w:r>
    </w:p>
    <w:p>
      <w:pPr>
        <w:pPr/>
        <w:numPr>
          <w:ilvl w:val="0"/>
          <w:numId w:val="16"/>
        </w:numPr>
      </w:pPr>
      <w:r>
        <w:rPr/>
        <w:t xml:space="preserve">Différentiel thermique entre façade et plancher considéré -ΔT=30°C (24°C en régime permanent;±6°C variation journalière)</w:t>
      </w:r>
    </w:p>
    <w:p>
      <w:pPr>
        <w:pPr/>
        <w:numPr>
          <w:ilvl w:val="0"/>
          <w:numId w:val="16"/>
        </w:numPr>
      </w:pPr>
      <w:r>
        <w:rPr/>
        <w:t xml:space="preserve">Retrait différentiel forfaitaire 1x10</w:t>
      </w:r>
      <w:r>
        <w:rPr>
          <w:vertAlign w:val="superscript"/>
        </w:rPr>
        <w:t xml:space="preserve">-4</w:t>
      </w:r>
    </w:p>
    <w:p>
      <w:pPr>
        <w:ind w:left="720" w:right="0"/>
      </w:pPr>
      <w:r>
        <w:rPr>
          <w:rStyle w:val="font_h2"/>
        </w:rPr>
        <w:t xml:space="preserve">7.2. Conception statique</w:t>
      </w:r>
    </w:p>
    <w:p>
      <w:pPr/>
      <w:r>
        <w:rPr/>
        <w:t xml:space="preserve">Validé par le Groupe Spécialisé le 24/01/2024</w:t>
      </w:r>
    </w:p>
    <w:p>
      <w:pPr/>
      <w:r>
        <w:rPr>
          <w:b/>
          <w:bCs/>
        </w:rPr>
        <w:t xml:space="preserve">Description</w:t>
      </w:r>
    </w:p>
    <w:p>
      <w:pPr/>
      <w:r>
        <w:rPr/>
        <w:t xml:space="preserve">La fréquence verticale d’un plancher muni de rupteurs doit être vérifiée suivant l’EC0 en fonction du domaine d’emploi visé.</w:t>
      </w:r>
    </w:p>
    <w:p>
      <w:pPr/>
      <w:r>
        <w:rPr/>
        <w:t xml:space="preserve">1- Performance du rupteur (Rd) :</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Identification des raideurs du rupteur sous sollicitations statiques (ELS, ELU) : (Kx,d ; Ky,d ; Kz,d ; K,θ,y)</w:t>
      </w:r>
    </w:p>
    <w:p>
      <w:pPr/>
      <w:r>
        <w:rPr/>
        <w:t xml:space="preserve">2- Méthodologie de dimensionnement des rupteurs</w:t>
      </w:r>
    </w:p>
    <w:p>
      <w:pPr>
        <w:pPr/>
        <w:numPr>
          <w:ilvl w:val="0"/>
          <w:numId w:val="18"/>
        </w:numPr>
      </w:pPr>
      <w:r>
        <w:rPr/>
        <w:t xml:space="preserve">Cas 1 : Utilisation de valeurs forfaitaires</w:t>
      </w:r>
      <w:r>
        <w:rPr/>
        <w:t xml:space="preserve">Pour les projets de bâtiments peu élancés (hauteur inférieure à la plus petite dimension en plan), on peut rester uniquement dans le cas 1.</w:t>
      </w:r>
    </w:p>
    <w:p>
      <w:pPr>
        <w:pPr/>
        <w:numPr>
          <w:ilvl w:val="1"/>
          <w:numId w:val="18"/>
        </w:numPr>
      </w:pPr>
      <w:r>
        <w:rPr/>
        <w:t xml:space="preserve">Calcul des sollicitations (Ex,d ; Ey,d ; Ez,d ; MEd) suivant une analyse linéaire simplifiée donnée par les Eurocodes ou utilisation de valeurs données par le bureau d’études structure de l’opération</w:t>
      </w:r>
    </w:p>
    <w:p>
      <w:pPr>
        <w:pPr/>
        <w:numPr>
          <w:ilvl w:val="1"/>
          <w:numId w:val="18"/>
        </w:numPr>
      </w:pPr>
      <w:r>
        <w:rPr/>
        <w:t xml:space="preserve">Comparaison avec (Vx,d ; Vy,d ; Vz,d ; MRd)</w:t>
      </w:r>
    </w:p>
    <w:p>
      <w:pPr>
        <w:pPr/>
        <w:numPr>
          <w:ilvl w:val="0"/>
          <w:numId w:val="18"/>
        </w:numPr>
      </w:pPr>
      <w:r>
        <w:rPr/>
        <w:t xml:space="preserve">Cas 2 : Utilisation d’un modèle de calcul aux éléments finis</w:t>
      </w:r>
    </w:p>
    <w:p>
      <w:pPr>
        <w:pPr/>
        <w:numPr>
          <w:ilvl w:val="1"/>
          <w:numId w:val="18"/>
        </w:numPr>
      </w:pPr>
      <w:r>
        <w:rPr/>
        <w:t xml:space="preserve">Prise en compte des données de raideur (Kx,d ; Ky,d ; Kz,d ; K,θ,y) pour déterminer la répartition des efforts dans l’ouvrage et le calcul des sollicitations (Ex,d ; Ey,d ; Ez,d ; MEd) à la liaison rupteur</w:t>
      </w:r>
    </w:p>
    <w:p>
      <w:pP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de contreventement) </w:t>
      </w:r>
    </w:p>
    <w:p>
      <w:pPr>
        <w:pPr/>
        <w:numPr>
          <w:ilvl w:val="0"/>
          <w:numId w:val="19"/>
        </w:numPr>
      </w:pPr>
      <w:r>
        <w:rPr/>
        <w:t xml:space="preserve">Comparaison avec les résistances (Vx,d ; Vy,d ; Vz,d ; MRd)Pour chaque projet de bâtiment élancé (hauteur supérieure à la plus petite dimension en plan), il convient de réaliser une étude spécifique pour quantifier l’influence de l’insertion des rupteurs sur la réponse globale au vent de la structure (Cas 2).</w:t>
      </w:r>
    </w:p>
    <w:p>
      <w:pPr/>
      <w:r>
        <w:rPr/>
        <w:t xml:space="preserve">3 - Dispositions de ferraillage en bord de dalle</w:t>
      </w:r>
    </w:p>
    <w:p>
      <w:pPr/>
      <w:r>
        <w:rPr/>
        <w:t xml:space="preserve">Les dispositions de ferraillage à adopter en bord de dalle doivent être décrites. Elles dépendront de la nature du système de rupteur de pont thermique et de la façon dont les charges sont transférées au support. Pour les rupteurs permettant le traitement continu du pont thermique, on distinguera les rupteurs de type « ponctuel » pour lesquels la charge doit être remontée des rupteurs de type « linéaire » :</w:t>
      </w:r>
    </w:p>
    <w:p>
      <w:pPr>
        <w:pPr/>
        <w:numPr>
          <w:ilvl w:val="0"/>
          <w:numId w:val="20"/>
        </w:numPr>
      </w:pPr>
      <w:r>
        <w:rPr/>
        <w:t xml:space="preserve">Ponctuels : les dispositions de ferraillage doivent permettre de remonter les charges jusqu’aux éléments ponctuels permettant le transfert des efforts du plancher au voile.</w:t>
      </w:r>
    </w:p>
    <w:p>
      <w:pPr>
        <w:pPr/>
        <w:numPr>
          <w:ilvl w:val="0"/>
          <w:numId w:val="20"/>
        </w:numPr>
      </w:pPr>
      <w:r>
        <w:rPr/>
        <w:t xml:space="preserve">Linéaires : il n’y a pas de charge à remonter, toutefois, dans le cas de vérification de robustesse le transfert des efforts doit être justifié et des exemples de solutions doivent être précisés dans les dossiers techniques. Les cas des planchers à prédalle nécessitent des dispositions particulières.</w:t>
      </w:r>
    </w:p>
    <w:p>
      <w:pPr/>
      <w:r>
        <w:rPr/>
        <w:t xml:space="preserve">4 - Utilisation avec un plancher à prédalles</w:t>
      </w:r>
    </w:p>
    <w:p>
      <w:pPr/>
      <w:r>
        <w:rPr/>
        <w:t xml:space="preserve">Détail de la méthodologie de dimensionnement de la zone d’appui du plancher à prédalle en tenant compte de l’intégration du rupteur : hypothèses de calcul à considérer, description du fonctionnement mécanique du nœud prédalle/rupteur, principe de dimensionnement des suspentes (prise en compte du mode de fonctionnement mécanique du nœud d’appui et de l’encombrement éventuel entre les suspentes et le rupteur), etc.</w:t>
      </w:r>
    </w:p>
    <w:p>
      <w:pPr/>
      <w:r>
        <w:rPr/>
        <w:t xml:space="preserve">NOTA : L’utilisation d’un plancher à prédalles suspendues pour les ouvrages nécessitant des dispositions parasismiques selon l’Arrêté du 22 octobre 2010 modifié n’est pas visée par la présente liste</w:t>
      </w:r>
    </w:p>
    <w:p>
      <w:pPr/>
      <w:r>
        <w:rPr>
          <w:b/>
          <w:bCs/>
        </w:rPr>
        <w:t xml:space="preserve">Justification</w:t>
      </w:r>
    </w:p>
    <w:p>
      <w:pPr/>
      <w:r>
        <w:rPr/>
        <w:t xml:space="preserve">Si approche expérimentale :Afin de pouvoir appliquer la méthode d’exploitation statistique de l’Annexe D (§ D.7.2 en considérant une variance inconnue) de l’Eurocode 0, il convient de réaliser 3 essais de caractérisation pour chaque capacité résistante de chaque modèle de la gamme.</w:t>
      </w:r>
    </w:p>
    <w:p>
      <w:pPr>
        <w:pPr/>
        <w:numPr>
          <w:ilvl w:val="0"/>
          <w:numId w:val="21"/>
        </w:numPr>
      </w:pPr>
      <w:r>
        <w:rPr/>
        <w:t xml:space="preserve">Minimum 3 essais de chargement vertical sous chargement horizontal nul. Aller jusqu’à la ruine. Détermination de Vz,d et Kz,d</w:t>
      </w:r>
    </w:p>
    <w:p>
      <w:pPr>
        <w:pPr/>
        <w:numPr>
          <w:ilvl w:val="0"/>
          <w:numId w:val="21"/>
        </w:numPr>
      </w:pPr>
      <w:r>
        <w:rPr/>
        <w:t xml:space="preserve">Minimum 3 essais de chargement horizontal sous chargement vertical égal à Vz,d (correspondant au chargement admissible en service). Aller jusqu’à la ruine. Détermination de Vy,d et Ky,d</w:t>
      </w:r>
    </w:p>
    <w:p>
      <w:pPr>
        <w:pPr/>
        <w:numPr>
          <w:ilvl w:val="0"/>
          <w:numId w:val="21"/>
        </w:numPr>
      </w:pPr>
      <w:r>
        <w:rPr/>
        <w:t xml:space="preserve">Minimum 3 essais de traction et 3 essais en compression dans l’axe tirant/buton du rupteur. Détermination de Vx,d et Kx,d </w:t>
      </w:r>
    </w:p>
    <w:p>
      <w:pPr/>
      <w:r>
        <w:rPr/>
        <w:t xml:space="preserve">Nota : soit chargement monotone soit chargement cyclique, dans ce dernier cas  Kx,d = Kx,d,s et Vx,d = Vx,d,s</w:t>
      </w:r>
    </w:p>
    <w:p>
      <w:pPr/>
      <w:r>
        <w:rPr/>
        <w:t xml:space="preserve">Si essais sous chargement cyclique, ils pourront être utilisés pour déduire les valeurs d’utilisation de K et V en statique et en situation sismique.</w:t>
      </w:r>
    </w:p>
    <w:p>
      <w:pPr/>
      <w:r>
        <w:rPr/>
        <w:t xml:space="preserve">Si approche analytique :Caractérisation analytique des valeurs résistantes avec validation par essai : il est possible de calculer les capacités résistantes analytiquement à condition de bien détailler le modèle analytique utilisé.</w:t>
      </w:r>
    </w:p>
    <w:p>
      <w:pPr/>
      <w:r>
        <w:rPr/>
        <w:t xml:space="preserve">Un essai de validation de ce modèle analytique dans chaque direction (pour chaque capacité résistante) est nécessaire. Dans le cas d’une gamme étendue, il conviendra de démontrer que la validation expérimentale justifie le modèle analytique pour la totalité de la gamme.</w:t>
      </w:r>
    </w:p>
    <w:p>
      <w:pPr/>
      <w:r>
        <w:rPr/>
        <w:t xml:space="preserve">Quelle que soit l’approche choisie, il convient de justifier la méthodologie de prise en compte de la concomitance des sollicitations sur la capacité résistante des rupteurs thermiques.</w:t>
      </w:r>
    </w:p>
    <w:p>
      <w:pPr>
        <w:ind w:left="720" w:right="0"/>
      </w:pPr>
      <w:r>
        <w:rPr>
          <w:rStyle w:val="font_h2"/>
        </w:rPr>
        <w:t xml:space="preserve">7.3. Prise en compte des effets de la dilatation thermique et du retrait</w:t>
      </w:r>
    </w:p>
    <w:p>
      <w:pPr/>
      <w:r>
        <w:rPr/>
        <w:t xml:space="preserve">Validé par le Groupe Spécialisé le 08/10/2019</w:t>
      </w:r>
    </w:p>
    <w:p>
      <w:pPr/>
      <w:r>
        <w:rPr>
          <w:b/>
          <w:bCs/>
        </w:rPr>
        <w:t xml:space="preserve">Description</w:t>
      </w:r>
    </w:p>
    <w:p>
      <w:pPr/>
      <w:r>
        <w:rPr/>
        <w:t xml:space="preserve">Sous l’effet des conditions climatiques extérieure et du retrait, les éléments béton exposé vont se dilater (cas été) ou se contracter (cas hiver). </w:t>
      </w:r>
    </w:p>
    <w:p>
      <w:pPr/>
      <w:r>
        <w:rPr/>
        <w:t xml:space="preserve">Il convient de déterminer l’espacement entre joints de dilatation maximal (ou entre zones de jonction plancher/façade non munies de rupteurs) permettant aux rupteurs de fonctionner dans leur domaine élastique à l’ELS (sous Combinaison fréquente). Les effets du retrait peuvent être négligés pour cette vérification de non plastification à l’ELS sous combinaison fréquente étant donné qu'il ne génère pas de phénomène de fatigue. </w:t>
      </w:r>
    </w:p>
    <w:p>
      <w:pPr/>
      <w:r>
        <w:rPr/>
        <w:t xml:space="preserve">Pour cette vérification, on pourra considérer par défaut un différentiel thermique entre façade et élément porté considéré -ΔT=30°C (24°C en régime permanent; ±6°C variation journalière).</w:t>
      </w:r>
    </w:p>
    <w:p>
      <w:pPr/>
      <w:r>
        <w:rPr/>
        <w:t xml:space="preserve">En cas d’existence de points fixes (zones de jonction plancher/façade non munies de rupteurs : jonctions entre façade et murs de refend, jonctions continues entre plancher et façade (bandes noyées), …), il conviendra de justifier (avec prise en compte de la dilatation thermique et du retrait) : </w:t>
      </w:r>
    </w:p>
    <w:p>
      <w:pPr>
        <w:pPr/>
        <w:numPr>
          <w:ilvl w:val="0"/>
          <w:numId w:val="22"/>
        </w:numPr>
      </w:pPr>
      <w:r>
        <w:rPr/>
        <w:t xml:space="preserve">le dimensionnement de la section et du ferraillage des zones non traitées (refends, nervures et bandes noyées, …) pour équilibrer les concentrations importantes d’efforts sous l’effet des actions thermiques (en tenant compte de la concomitance avec les charges verticales).</w:t>
      </w:r>
    </w:p>
    <w:p>
      <w:pPr>
        <w:pPr/>
        <w:numPr>
          <w:ilvl w:val="0"/>
          <w:numId w:val="22"/>
        </w:numPr>
      </w:pPr>
      <w:r>
        <w:rPr/>
        <w:t xml:space="preserve">le ferraillage de la façade (sous combinaison ELS quasi-permanente) et le dimensionnement des points fixes en prenant en compte le retrait différentiel du béton entre la façade et le plancher</w:t>
      </w:r>
    </w:p>
    <w:p>
      <w:pPr/>
      <w:r>
        <w:rPr/>
        <w:t xml:space="preserve">Il conviendra également de justifier que la capacité de déformation post-élastique du rupteur est suffisante pour équilibrer les sollicitations à l’ELU (charges permanentes, charges d’exploitation, gradient thermique, …).</w:t>
      </w:r>
    </w:p>
    <w:p>
      <w:pPr/>
      <w:r>
        <w:rPr/>
        <w:t xml:space="preserve">Il conviendra de prendre en compte un retrait différentiel forfaitaire de 1.10^(-4) ou possibilité de calcul de la valeur de retrait différentiel (en considérant le bâtiment de référence avec un plancher « libre » en béton coulé en place d’une épaisseur de 20 cm et une façade « libre » en voilé béton d’une épaisseur de 18 cm avec une évolution simultanée du retrait du plancher et de la façade;  humidité relative de 50 % pour le plancher et de 70 % pour le mur de façade; module différé du béton). </w:t>
      </w:r>
    </w:p>
    <w:p>
      <w:pPr/>
      <w:r>
        <w:rPr/>
        <w:t xml:space="preserve">La contrainte résistante en traction du béton vis-à-vis de la fissuration :  ft=2,1 MPa pour un béton C25/30.</w:t>
      </w:r>
    </w:p>
    <w:p>
      <w:pPr/>
      <w:r>
        <w:rPr>
          <w:b/>
          <w:bCs/>
        </w:rPr>
        <w:t xml:space="preserve">Justification</w:t>
      </w:r>
    </w:p>
    <w:p>
      <w:pPr/>
      <w:r>
        <w:rPr/>
        <w:t xml:space="preserve">Modélisation(s) numérique(s) représentatives du domaine d’emploi visé et prenant en compte les raideurs des rupteurs caractérisées ou validées par essai.</w:t>
      </w:r>
    </w:p>
    <w:p>
      <w:pPr/>
      <w:r>
        <w:rPr>
          <w:b/>
          <w:bCs/>
        </w:rPr>
        <w:t xml:space="preserve">Critères d'évaluation</w:t>
      </w:r>
    </w:p>
    <w:p>
      <w:pPr>
        <w:pPr/>
        <w:numPr>
          <w:ilvl w:val="0"/>
          <w:numId w:val="23"/>
        </w:numPr>
      </w:pPr>
      <w:r>
        <w:rPr/>
        <w:t xml:space="preserve">Stabilité des éléments de structure à l’ELU</w:t>
      </w:r>
    </w:p>
    <w:p>
      <w:pPr>
        <w:pPr/>
        <w:numPr>
          <w:ilvl w:val="0"/>
          <w:numId w:val="23"/>
        </w:numPr>
      </w:pPr>
      <w:r>
        <w:rPr/>
        <w:t xml:space="preserve">Non-plastification des rupteurs à l’ELS</w:t>
      </w:r>
    </w:p>
    <w:p>
      <w:pPr>
        <w:ind w:left="720" w:right="0"/>
      </w:pPr>
      <w:r>
        <w:rPr>
          <w:rStyle w:val="font_h2"/>
        </w:rPr>
        <w:t xml:space="preserve">7.4. Prise en compte des effets du vent</w:t>
      </w:r>
    </w:p>
    <w:p>
      <w:pPr/>
      <w:r>
        <w:rPr/>
        <w:t xml:space="preserve">Validé par le Groupe Spécialisé le 08/10/2019</w:t>
      </w:r>
    </w:p>
    <w:p>
      <w:pPr/>
      <w:r>
        <w:rPr>
          <w:b/>
          <w:bCs/>
        </w:rPr>
        <w:t xml:space="preserve">Description</w:t>
      </w:r>
    </w:p>
    <w:p>
      <w:pPr/>
      <w:r>
        <w:rPr/>
        <w:t xml:space="preserve">Pour chaque projet de bâtiment élancé (hauteur supérieure à la plus petite dimension en plan), il convient de réaliser une étude spécifique pour quantifier l’influence de l’insertion des rupteurs sur la réponse globale au vent de la structure.</w:t>
      </w:r>
    </w:p>
    <w:p>
      <w:pPr/>
      <w:r>
        <w:rPr>
          <w:b/>
          <w:bCs/>
        </w:rPr>
        <w:t xml:space="preserve">Justification</w:t>
      </w:r>
    </w:p>
    <w:p>
      <w:pPr/>
      <w:r>
        <w:rPr/>
        <w:t xml:space="preserve">Transmettre un exemple d’étude numérique d’un bâtiment représentatif du domaine d’emploi visé ; la liaison rupteur étant modélisée par un ressort 3D dont les raideurs sont (Kx,d ; Ky,d ; Kz,d )</w:t>
      </w:r>
    </w:p>
    <w:p>
      <w:pPr>
        <w:ind w:left="720" w:right="0"/>
      </w:pPr>
      <w:r>
        <w:rPr>
          <w:rStyle w:val="font_h2"/>
        </w:rPr>
        <w:t xml:space="preserve">7.5. Conception sismique</w:t>
      </w:r>
    </w:p>
    <w:p>
      <w:pPr/>
      <w:r>
        <w:rPr/>
        <w:t xml:space="preserve">Validé par le Groupe Spécialisé le 24/01/2024</w:t>
      </w:r>
    </w:p>
    <w:p>
      <w:pPr/>
      <w:r>
        <w:rPr>
          <w:b/>
          <w:bCs/>
        </w:rPr>
        <w:t xml:space="preserve">Description</w:t>
      </w:r>
    </w:p>
    <w:p>
      <w:pPr/>
      <w:r>
        <w:rPr/>
        <w:t xml:space="preserve">1-Performance du rupteur (Rd,s) (dans le cas où le procédé de rupteur reprend des efforts sismiques)</w:t>
      </w:r>
    </w:p>
    <w:p>
      <w:pPr>
        <w:pPr/>
        <w:numPr>
          <w:ilvl w:val="0"/>
          <w:numId w:val="24"/>
        </w:numPr>
      </w:pPr>
      <w:r>
        <w:rPr/>
        <w:t xml:space="preserve">Identification des capacités résistantes du rupteur sous sollicitations sismiques : (Vx,d,s ; Vy,d,s ; Vz,d,s ; MRd,s)</w:t>
      </w:r>
    </w:p>
    <w:p>
      <w:pPr>
        <w:pPr/>
        <w:numPr>
          <w:ilvl w:val="0"/>
          <w:numId w:val="24"/>
        </w:numPr>
      </w:pPr>
      <w:r>
        <w:rPr/>
        <w:t xml:space="preserve">Identification des raideurs du rupteur sous sollicitations sismiques : (Kx,d,s ; Ky,d,s ; Kz,d,s )</w:t>
      </w:r>
    </w:p>
    <w:p>
      <w:pPr/>
      <w:r>
        <w:rPr/>
        <w:t xml:space="preserve">2-Méthodologie de dimensionnement des rupteurs au séisme (Ed,s)</w:t>
      </w:r>
    </w:p>
    <w:p>
      <w:pPr>
        <w:pPr/>
        <w:numPr>
          <w:ilvl w:val="0"/>
          <w:numId w:val="25"/>
        </w:numPr>
      </w:pPr>
      <w:r>
        <w:rPr/>
        <w:t xml:space="preserve">Méthode de prise en compte des données de raideur (Kx,d,s ; Ky,d,s ; Kz,d,s ) pour déterminer la répartition des efforts dans l’ouvrage et le calcul des sollicitations (Ex,d,s ; Ey,d,s ; Ez,d,s ; MEd,s) à la liaison rupteur</w:t>
      </w: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 </w:t>
      </w:r>
    </w:p>
    <w:p>
      <w:pPr>
        <w:pPr/>
        <w:numPr>
          <w:ilvl w:val="0"/>
          <w:numId w:val="25"/>
        </w:numPr>
      </w:pPr>
      <w:r>
        <w:rPr/>
        <w:t xml:space="preserve">Comparaison avec les résistances (Vx,d,s ; Vy,d,s ; Vz,d,s ; MRd,s)</w:t>
      </w:r>
    </w:p>
    <w:p>
      <w:pPr/>
      <w:r>
        <w:rPr/>
        <w:t xml:space="preserve">3-Prise en compte des rupteurs dans le dimensionnement global de l’ouvrage</w:t>
      </w:r>
    </w:p>
    <w:p>
      <w:pPr/>
      <w:r>
        <w:rPr/>
        <w:t xml:space="preserve">L’insertion des rupteurs venant </w:t>
      </w:r>
      <w:r>
        <w:rPr>
          <w:i/>
          <w:iCs/>
        </w:rPr>
        <w:t xml:space="preserve">a priori</w:t>
      </w:r>
      <w:r>
        <w:rPr/>
        <w:t xml:space="preserve"> modifier la réponse globale de l’ouvrage au séisme, il conviendra d’identifier les modalités de prise en compte des rupteurs dans le dimensionnement global de l’ouvrage.</w:t>
      </w:r>
    </w:p>
    <w:p>
      <w:pPr/>
      <w:r>
        <w:rPr/>
        <w:t xml:space="preserve">4-Méthodes forfaitaires ou simplifiées</w:t>
      </w:r>
    </w:p>
    <w:p>
      <w:pPr/>
      <w:r>
        <w:rPr/>
        <w:t xml:space="preserve">Les méthodes de dimensionnement doivent être détaillées et justifiées.</w:t>
      </w:r>
    </w:p>
    <w:p>
      <w:pPr/>
      <w:r>
        <w:rPr>
          <w:b/>
          <w:bCs/>
        </w:rPr>
        <w:t xml:space="preserve">Justification</w:t>
      </w:r>
    </w:p>
    <w:p>
      <w:pPr/>
      <w:r>
        <w:rPr/>
        <w:t xml:space="preserve">I- Justification des capacités résistantes du rupteur sous sollicitation sismiques (Vx,d,s ; Vy,d,s ; Vz,d,s ; MRd,s) (dans le cas où le procédé de rupteur reprend des efforts sismiques):</w:t>
      </w:r>
    </w:p>
    <w:p>
      <w:pPr>
        <w:pPr/>
        <w:numPr>
          <w:ilvl w:val="0"/>
          <w:numId w:val="26"/>
        </w:numPr>
      </w:pPr>
      <w:r>
        <w:rPr/>
        <w:t xml:space="preserve">Minimum 3 essais de chargement horizontal alterné sous chargement vertical égal à Vz,d (correspondant au chargement admissible en service). Aller jusqu’à la ruine. Détermination de Vy,d,s et Ky,d,s</w:t>
      </w:r>
    </w:p>
    <w:p>
      <w:pPr>
        <w:pPr/>
        <w:numPr>
          <w:ilvl w:val="0"/>
          <w:numId w:val="26"/>
        </w:numPr>
      </w:pPr>
      <w:r>
        <w:rPr/>
        <w:t xml:space="preserve">Minimum 3 essais cycliques d’arrachement dans l’axe tirant/buton du rupteur. Détermination de Vx,d,s et Kx,d,s</w:t>
      </w:r>
    </w:p>
    <w:p>
      <w:pPr>
        <w:pPr/>
        <w:numPr>
          <w:ilvl w:val="0"/>
          <w:numId w:val="26"/>
        </w:numPr>
      </w:pPr>
      <w:r>
        <w:rPr/>
        <w:t xml:space="preserve">La qualification expérimentale de rupteurs pour une utilisation sous action sismique doit comprendre :</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Métallique).</w:t>
      </w:r>
    </w:p>
    <w:p>
      <w:pPr>
        <w:pPr/>
        <w:numPr>
          <w:ilvl w:val="1"/>
          <w:numId w:val="26"/>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1"/>
          <w:numId w:val="26"/>
        </w:numPr>
      </w:pPr>
      <w:r>
        <w:rPr/>
        <w:t xml:space="preserve">Dans le domaine plastique, trains de cycles d’un minimum de 3 cycles pour des niveaux de chargement à définir par le demandeur.</w:t>
      </w:r>
    </w:p>
    <w:p>
      <w:pPr/>
      <w:r>
        <w:rPr/>
        <w:t xml:space="preserve">Dans tous les cas, il conviendra de justifier la méthodologie de prise en compte de la concomitance des sollicitations sur la capacité résistante des rupteurs thermiques.</w:t>
      </w:r>
    </w:p>
    <w:p>
      <w:pPr/>
      <w:r>
        <w:rPr/>
        <w:t xml:space="preserve">II - Vérification de l’aptitude à l’emploi du rupteur pour le domaine d’emploi visé (chaque type de support devra être justifié).</w:t>
      </w:r>
    </w:p>
    <w:p>
      <w:pPr>
        <w:pPr/>
        <w:numPr>
          <w:ilvl w:val="0"/>
          <w:numId w:val="27"/>
        </w:numPr>
      </w:pPr>
      <w:r>
        <w:rPr/>
        <w:t xml:space="preserve">Choix d’une batterie de modèles de bâtiments représentatifs du domaine d’emploi visé (faire varier le nombre d’étage, le type de contreventement, le type de sol, la zone sismique, etc.)</w:t>
      </w:r>
    </w:p>
    <w:p>
      <w:pPr>
        <w:pPr/>
        <w:numPr>
          <w:ilvl w:val="0"/>
          <w:numId w:val="27"/>
        </w:numPr>
      </w:pPr>
      <w:r>
        <w:rPr/>
        <w:t xml:space="preserve">Pour chaque bâtiment, deux modélisations sont réalisées : avec rupteurs et sans rupteur ; la liaison rupteur étant modélisée par un ressort 3D dont les raideurs sont (Kx,d,s ; Ky,d,s ; Kz,d,s )</w:t>
      </w:r>
      <w:r>
        <w:rPr/>
        <w:t xml:space="preserve">Pour le modèle avec rupteurs, 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w:t>
      </w:r>
    </w:p>
    <w:p>
      <w:pPr>
        <w:pPr/>
        <w:numPr>
          <w:ilvl w:val="0"/>
          <w:numId w:val="27"/>
        </w:numPr>
      </w:pPr>
      <w:r>
        <w:rPr/>
        <w:t xml:space="preserve">Le calcul des forces de sollicitation sismique horizontales doit être conforme aux prescriptions de la norme NF EN 1998-1</w:t>
      </w:r>
    </w:p>
    <w:p>
      <w:pPr>
        <w:pPr/>
        <w:numPr>
          <w:ilvl w:val="0"/>
          <w:numId w:val="27"/>
        </w:numPr>
      </w:pPr>
      <w:r>
        <w:rPr/>
        <w:t xml:space="preserve">Pour les différents modèles (avec et sans rupteurs) :</w:t>
      </w:r>
      <w:r>
        <w:rPr/>
        <w:t xml:space="preserve">Si l’écart des fréquences propres est inférieur à 15% et que l’accroissement des efforts dans les voiles de refend est inférieur à 10%, une méthode simplifiée de dimensionnement est envisageable, par exemple ne pas prendre en compte les rupteurs dans le dimensionnement des voiles ; sinon, une méthode avancée de dimensionnement sera proposée.</w:t>
      </w:r>
      <w:r>
        <w:rPr/>
        <w:t xml:space="preserve">Pour les différents modèles avec rupteurs, déterminer les efforts dans les rupteurs et dans les éventuelles zones non munies de rupteurs (notamment pour le cas des rupteurs qui ne reprennent pas les efforts sismiques) : la distribution des efforts sismiques dans les rupteurs (et dans les éventuelles zones non munies de rupteurs) est faite au proratades raideurs (Kx,d,s ; Ky,d,s ; Kz,d,s ; K(x,y,z) zones non munies de rupteur) ; il conviendra de justifier que l’on a bien Rd (capacité résistante en situation sismique) ≥Ed (sollicitations en situation sismique hors action thermique).</w:t>
      </w:r>
    </w:p>
    <w:p>
      <w:pPr>
        <w:pPr/>
        <w:numPr>
          <w:ilvl w:val="1"/>
          <w:numId w:val="27"/>
        </w:numPr>
      </w:pPr>
      <w:r>
        <w:rPr/>
        <w:t xml:space="preserve">Comparer les fréquences propres ;</w:t>
      </w:r>
    </w:p>
    <w:p>
      <w:pPr>
        <w:pPr/>
        <w:numPr>
          <w:ilvl w:val="1"/>
          <w:numId w:val="27"/>
        </w:numPr>
      </w:pPr>
      <w:r>
        <w:rPr/>
        <w:t xml:space="preserve">Quantifier l’augmentation des efforts dans les voiles de refend suite à l’introduction de rupteurs.</w:t>
      </w:r>
    </w:p>
    <w:p>
      <w:pPr/>
      <w:r>
        <w:rPr/>
        <w:t xml:space="preserve">III-Méthodes forfaitaires ou simplifiéesAfin d’appliquer une méthode forfaitaire ou simplifiée à des ouvrages soumis à des exigences sismiques, l’étude pour la justification du domaine revendiqué doit inclure les limites suivantes :</w:t>
      </w:r>
    </w:p>
    <w:p>
      <w:pPr>
        <w:pPr/>
        <w:numPr>
          <w:ilvl w:val="0"/>
          <w:numId w:val="28"/>
        </w:numPr>
      </w:pPr>
      <w:r>
        <w:rPr/>
        <w:t xml:space="preserve">Trame de bâtiment : logement, bureaux, etc ;</w:t>
      </w:r>
    </w:p>
    <w:p>
      <w:pPr>
        <w:pPr/>
        <w:numPr>
          <w:ilvl w:val="0"/>
          <w:numId w:val="28"/>
        </w:numPr>
      </w:pPr>
      <w:r>
        <w:rPr/>
        <w:t xml:space="preserve">Système constructif (refend, noyau de contreventement, etc) ;</w:t>
      </w:r>
    </w:p>
    <w:p>
      <w:pPr>
        <w:pPr/>
        <w:numPr>
          <w:ilvl w:val="0"/>
          <w:numId w:val="28"/>
        </w:numPr>
      </w:pPr>
      <w:r>
        <w:rPr/>
        <w:t xml:space="preserve">Irrégularités aux limites des dispositions de l’EC8, principalement lié au phénomène de torsion ;</w:t>
      </w:r>
    </w:p>
    <w:p>
      <w:pPr>
        <w:pPr/>
        <w:numPr>
          <w:ilvl w:val="0"/>
          <w:numId w:val="28"/>
        </w:numPr>
      </w:pPr>
      <w:r>
        <w:rPr/>
        <w:t xml:space="preserve">Dimensions du bâtiment en plan, en élévation ;</w:t>
      </w:r>
    </w:p>
    <w:p>
      <w:pPr>
        <w:pPr/>
        <w:numPr>
          <w:ilvl w:val="0"/>
          <w:numId w:val="28"/>
        </w:numPr>
      </w:pPr>
      <w:r>
        <w:rPr/>
        <w:t xml:space="preserve">Portée des planchers ;</w:t>
      </w:r>
    </w:p>
    <w:p>
      <w:pPr>
        <w:pPr/>
        <w:numPr>
          <w:ilvl w:val="0"/>
          <w:numId w:val="28"/>
        </w:numPr>
      </w:pPr>
      <w:r>
        <w:rPr/>
        <w:t xml:space="preserve">Limitation de charges permanentes et d’exploitation ;</w:t>
      </w:r>
    </w:p>
    <w:p>
      <w:pPr>
        <w:pPr/>
        <w:numPr>
          <w:ilvl w:val="0"/>
          <w:numId w:val="28"/>
        </w:numPr>
      </w:pPr>
      <w:r>
        <w:rPr/>
        <w:t xml:space="preserve">Impact des trémies.</w:t>
      </w:r>
    </w:p>
    <w:p>
      <w:pPr/>
      <w:r>
        <w:rPr>
          <w:b/>
          <w:bCs/>
        </w:rPr>
        <w:t xml:space="preserve">Critères d'évaluation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ind w:left="720" w:right="0"/>
      </w:pPr>
      <w:r>
        <w:rPr>
          <w:rStyle w:val="font_h2"/>
        </w:rPr>
        <w:t xml:space="preserve">7.6. Robustesse</w:t>
      </w:r>
    </w:p>
    <w:p>
      <w:pPr/>
      <w:r>
        <w:rPr/>
        <w:t xml:space="preserve">Validé par le Groupe Spécialisé le 30/01/2025</w:t>
      </w:r>
    </w:p>
    <w:p>
      <w:pPr/>
      <w:r>
        <w:rPr>
          <w:b/>
          <w:bCs/>
        </w:rPr>
        <w:t xml:space="preserve">Description</w:t>
      </w:r>
    </w:p>
    <w:p>
      <w:pPr/>
      <w:r>
        <w:rPr/>
        <w:t xml:space="preserve">Vérification de l’aptitude de la structure à soutenir des dommages arbitraires.</w:t>
      </w:r>
    </w:p>
    <w:p>
      <w:pPr/>
      <w:r>
        <w:rPr>
          <w:b/>
          <w:bCs/>
        </w:rPr>
        <w:t xml:space="preserve">Justification</w:t>
      </w:r>
    </w:p>
    <w:p>
      <w:pPr>
        <w:pPr/>
        <w:numPr>
          <w:ilvl w:val="0"/>
          <w:numId w:val="29"/>
        </w:numPr>
      </w:pPr>
      <w:r>
        <w:rPr/>
        <w:t xml:space="preserve">Vérification de la stabilité d’ensemble en considérant la défaillance d’un élément ponctuel du rupteur pour les vérifications vis-à-vis des combinaisons de charges accidentelles. Par défaut, un coefficient Gamma rep = 1.5 est à considérer sur les capacités portantes. Indépendamment du type du rupteur, le report des charges doit être justifié soit par le calcul soit par des dispositions constructives enveloppes.</w:t>
      </w:r>
    </w:p>
    <w:p>
      <w:pPr>
        <w:pPr/>
        <w:numPr>
          <w:ilvl w:val="0"/>
          <w:numId w:val="29"/>
        </w:numPr>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ind w:left="720" w:right="0"/>
      </w:pPr>
      <w:r>
        <w:rPr>
          <w:rStyle w:val="font_h2"/>
        </w:rPr>
        <w:t xml:space="preserve">7.7. Stabilité à chaud</w:t>
      </w:r>
    </w:p>
    <w:p>
      <w:pPr/>
      <w:r>
        <w:rPr/>
        <w:t xml:space="preserve">Validé par le Groupe Spécialisé le 08/10/2019</w:t>
      </w:r>
    </w:p>
    <w:p>
      <w:pPr/>
      <w:r>
        <w:rPr>
          <w:b/>
          <w:bCs/>
        </w:rPr>
        <w:t xml:space="preserve">Description</w:t>
      </w:r>
    </w:p>
    <w:p>
      <w:pPr/>
      <w:r>
        <w:rPr/>
        <w:t xml:space="preserve">Pour les procédés non traditionnels, le classement REI doit être attribué par un PV ou une appréciation de laboratoire agréé. Dans le cas des rupteurs structuraux en ITI, on rentre parfaitement dans le cadre de la norme EN 1365-2,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1365-2. </w:t>
      </w:r>
    </w:p>
    <w:p>
      <w:pPr/>
      <w:r>
        <w:rPr/>
        <w:t xml:space="preserve">Si un seul modèle de rupteur est testé, ce doit être le modèle le plus souple de la gamme visée.</w:t>
      </w:r>
    </w:p>
    <w:p>
      <w:pPr/>
      <w:r>
        <w:rPr/>
        <w:t xml:space="preserve">Il convient de procéder à un essai sur chaque type de support visé.</w:t>
      </w:r>
    </w:p>
    <w:p>
      <w:pPr/>
      <w:r>
        <w:rPr/>
        <w:t xml:space="preserve">Un PV de classement REI établi par un Laboratoire agréé est nécessaire. </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b/>
          <w:bCs/>
        </w:rPr>
        <w:t xml:space="preserve">Critères d'évaluation</w:t>
      </w:r>
    </w:p>
    <w:p>
      <w:pPr/>
      <w:r>
        <w:rPr/>
        <w:t xml:space="preserve">L’appréciation de laboratoire devra décrire explicitement les modèles de rupteur visés et indiquer dans quelle mesure un modèle de rupteur non explicitement cité dans l’appréciation peut être considéré (variation de géométrie, du nombre et du diamètre des armatures, du type de butons, etc.).</w:t>
      </w:r>
    </w:p>
    <w:p>
      <w:pPr/>
      <w:r>
        <w:rPr>
          <w:rStyle w:val="font_h1"/>
        </w:rPr>
        <w:t xml:space="preserve">8.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des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30"/>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30"/>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30"/>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9. Acoustique</w:t>
      </w:r>
    </w:p>
    <w:p>
      <w:pPr/>
      <w:r>
        <w:rPr/>
        <w:t xml:space="preserve">Validé par le Groupe Spécialisé le 08/10/2019</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31"/>
        </w:numPr>
      </w:pPr>
      <w:r>
        <w:rPr/>
        <w:t xml:space="preserve">PV relatif à l’indice d’affaiblissement acoustique vis-à-vis du bruit aérien</w:t>
      </w:r>
    </w:p>
    <w:p>
      <w:pPr>
        <w:pPr/>
        <w:numPr>
          <w:ilvl w:val="0"/>
          <w:numId w:val="31"/>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des chaînages côté dalle, mise en place du ferraillage du chaînage côté façade porteuse, mise en place du ferraillage complémentaire, utilisation d’accessoires spécifiques (étaiements, banches, etc.), positionnement des éléments préfabriqués (si visé), coulage du béton.</w:t>
      </w:r>
    </w:p>
    <w:p>
      <w:pPr/>
      <w:r>
        <w:rPr/>
        <w:t xml:space="preserve">Dans le cas d’une utilisation avec des planchers à prédalles : détail du phasage de mise en œuvre, tableau de compatibilité des rupteurs avec les épaisseurs de prédalles et détails du positionnement des armatures en attente du rupteur vis-à-vis de la prédalle et des suspentes de celle-ci permettant d’assurer un bétonnage correct du nœud prédalle/rupteur. </w:t>
      </w:r>
    </w:p>
    <w:p>
      <w:pPr/>
      <w:r>
        <w:rPr/>
        <w:t xml:space="preserve">Traitement des angles rentrant et sortant, trémies, refends, décalages plancher/balcon, etc.</w:t>
      </w:r>
    </w:p>
    <w:p>
      <w:pPr/>
      <w:r>
        <w:rPr>
          <w:b/>
          <w:bCs/>
        </w:rPr>
        <w:t xml:space="preserve">Justification</w:t>
      </w:r>
    </w:p>
    <w:p>
      <w:pPr/>
      <w:r>
        <w:rPr/>
        <w:t xml:space="preserve">Notice de pose, schémas cotés et de coupes verticales et horizontales.</w:t>
      </w:r>
    </w:p>
    <w:p>
      <w:pPr/>
      <w:r>
        <w:rPr>
          <w:rStyle w:val="font_h1"/>
        </w:rPr>
        <w:t xml:space="preserve">11. Finitions</w:t>
      </w:r>
    </w:p>
    <w:p>
      <w:pPr/>
      <w:r>
        <w:rPr/>
        <w:t xml:space="preserve">Validé par le Groupe Spécialisé le 08/10/2019</w:t>
      </w:r>
    </w:p>
    <w:p>
      <w:pPr/>
      <w:r>
        <w:rPr>
          <w:b/>
          <w:bCs/>
        </w:rPr>
        <w:t xml:space="preserve">Description</w:t>
      </w:r>
    </w:p>
    <w:p>
      <w:pPr/>
      <w:r>
        <w:rPr/>
        <w:t xml:space="preserve">Description des doublages applicables : isolant, parement (matériaux et dimensions)</w:t>
      </w:r>
    </w:p>
    <w:p>
      <w:pPr/>
      <w:r>
        <w:rPr/>
        <w:t xml:space="preserve">Description des sols et des plafonds prévus.</w:t>
      </w:r>
    </w:p>
    <w:p>
      <w:pPr/>
      <w:r>
        <w:rPr>
          <w:b/>
          <w:bCs/>
        </w:rPr>
        <w:t xml:space="preserve">Critères d'évaluation</w:t>
      </w:r>
    </w:p>
    <w:p>
      <w:pPr/>
      <w:r>
        <w:rPr/>
        <w:t xml:space="preserve">Le doublage doit toujours venir en recouvrement du rupteur (ie l’épaisseur de l’isolant du doublage doit être strictement supérieure à l’épaisseur du rupteur).</w:t>
      </w:r>
    </w:p>
    <w:p>
      <w:pPr/>
      <w:r>
        <w:rPr>
          <w:rStyle w:val="font_h1"/>
        </w:rPr>
        <w:t xml:space="preserve">12. Toitures terrasses</w:t>
      </w:r>
    </w:p>
    <w:p>
      <w:pPr/>
      <w:r>
        <w:rPr/>
        <w:t xml:space="preserve">Validé par le Groupe Spécialisé le 08/10/2019</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32"/>
        </w:numPr>
      </w:pPr>
      <w:r>
        <w:rPr/>
        <w:t xml:space="preserve">Schémas cotés associés à chaque solution prévue.</w:t>
      </w:r>
    </w:p>
    <w:p>
      <w:pPr>
        <w:pPr/>
        <w:numPr>
          <w:ilvl w:val="0"/>
          <w:numId w:val="32"/>
        </w:numPr>
      </w:pPr>
      <w:r>
        <w:rPr/>
        <w:t xml:space="preserve">Justification de la compatibilité des revêtements d’étanchéité prévus dans le cas spécifique des toitures terrasses.</w:t>
      </w:r>
    </w:p>
    <w:p>
      <w:pPr>
        <w:pPr/>
        <w:numPr>
          <w:ilvl w:val="0"/>
          <w:numId w:val="32"/>
        </w:numPr>
      </w:pPr>
      <w:r>
        <w:rPr/>
        <w:t xml:space="preserve">Justification de la bonne tenue de l’isolant du rupteur dans le cas de la mise en œuvre de l’étanchéité à la flamme.</w:t>
      </w:r>
    </w:p>
    <w:p>
      <w:pPr>
        <w:pPr/>
        <w:numPr>
          <w:ilvl w:val="0"/>
          <w:numId w:val="32"/>
        </w:numPr>
      </w:pPr>
      <w:r>
        <w:rPr/>
        <w:t xml:space="preserve">Justification de l’absence de risque de condensation en toiture terrasse dans le cas des planchers isolés en sous face.</w:t>
      </w:r>
    </w:p>
    <w:p>
      <w:pPr>
        <w:pPr/>
        <w:numPr>
          <w:ilvl w:val="0"/>
          <w:numId w:val="3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359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3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6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6D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27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8E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FF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4E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D2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B7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FA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15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C7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34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78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87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F0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73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CBE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7C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DE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A0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23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391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2026-05-07T16:11:31+02:00</dcterms:created>
  <dcterms:modified xsi:type="dcterms:W3CDTF">2026-05-07T16:11:31+02:00</dcterms:modified>
</cp:coreProperties>
</file>

<file path=docProps/custom.xml><?xml version="1.0" encoding="utf-8"?>
<Properties xmlns="http://schemas.openxmlformats.org/officeDocument/2006/custom-properties" xmlns:vt="http://schemas.openxmlformats.org/officeDocument/2006/docPropsVTypes"/>
</file>