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Extérieure (ITE)</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structurel (hors rupteurs planchers à poutrelles) en ITE :</w:t>
      </w:r>
    </w:p>
    <w:p>
      <w:pPr/>
      <w:r>
        <w:rPr/>
        <w:t xml:space="preserve">Procédé structural constituant une coupure de continuité du gros-œuvre, plus particulièrement entre le balcon (ou acrotère et autres éléments rapportés en façade (casquette, bandeau, …)) et la façade, capable de transmettre des efforts du balcon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l’Extérieur.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Le repère utilisé dans la suite du document est décrit ci-dessous :</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d’utilisation revendiqué:</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l’élément (vis-à-vis des effets du vent et de la dilatation thermique) ;</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ou acrotère visés (béton armé coulé en place, préfabrication…) et types d’éléments rapportés en façade visés (bandeau, casquette, …);</w:t>
      </w:r>
    </w:p>
    <w:p>
      <w:pPr>
        <w:pPr/>
        <w:numPr>
          <w:ilvl w:val="0"/>
          <w:numId w:val="10"/>
        </w:numPr>
      </w:pPr>
      <w:r>
        <w:rPr/>
        <w:t xml:space="preserve">Préciser si l’intégralité du linéaire balcon ou acrotère/façade est traitée  (système mixte liaison béton /rupteur thermique ; …).</w:t>
      </w:r>
    </w:p>
    <w:p>
      <w:pPr/>
      <w:r>
        <w:rPr>
          <w:rStyle w:val="font_h1"/>
        </w:rPr>
        <w:t xml:space="preserve">3. Description du rupteur</w:t>
      </w:r>
    </w:p>
    <w:p>
      <w:pPr/>
      <w:r>
        <w:rPr/>
        <w:t xml:space="preserve">Validé par le Groupe Spécialisé le 08/10/2019</w:t>
      </w:r>
    </w:p>
    <w:p>
      <w:pPr/>
      <w:r>
        <w:rPr>
          <w:b/>
          <w:bCs/>
        </w:rPr>
        <w:t xml:space="preserve">Description</w:t>
      </w:r>
    </w:p>
    <w:p>
      <w:pPr/>
      <w:r>
        <w:rPr/>
        <w:t xml:space="preserve">Préciser explicitement la gamme de rupteurs visées</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4. Éléments constitutifs et matériaux</w:t>
      </w:r>
    </w:p>
    <w:p>
      <w:pPr>
        <w:ind w:left="720" w:right="0"/>
      </w:pPr>
      <w:r>
        <w:rPr>
          <w:rStyle w:val="font_h2"/>
        </w:rPr>
        <w:t xml:space="preserve">4.1. Définition des différents modèles</w:t>
      </w:r>
    </w:p>
    <w:p>
      <w:pPr/>
      <w:r>
        <w:rPr/>
        <w:t xml:space="preserve">Validé par le Groupe Spécialisé le 08/10/2019</w:t>
      </w:r>
    </w:p>
    <w:p>
      <w:pPr/>
      <w:r>
        <w:rPr>
          <w:b/>
          <w:bCs/>
        </w:rPr>
        <w:t xml:space="preserve">Description</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rupteurs (hauteur, largeur, nombre de barres, diamètre des barres…) ;</w:t>
      </w:r>
    </w:p>
    <w:p>
      <w:pPr>
        <w:pPr/>
        <w:numPr>
          <w:ilvl w:val="0"/>
          <w:numId w:val="11"/>
        </w:numPr>
      </w:pPr>
      <w:r>
        <w:rPr/>
        <w:t xml:space="preserve">Définition de la nuance d’acier (ou des nuances d’acier) utilisé ;</w:t>
      </w:r>
    </w:p>
    <w:p>
      <w:pPr>
        <w:pPr/>
        <w:numPr>
          <w:ilvl w:val="0"/>
          <w:numId w:val="11"/>
        </w:numPr>
      </w:pPr>
      <w:r>
        <w:rPr/>
        <w:t xml:space="preserve">Définition de l’isolant utilisé (type d’isolant, épaisseur minimale et maximale…) ;</w:t>
      </w:r>
    </w:p>
    <w:p>
      <w:pPr>
        <w:pPr/>
        <w:numPr>
          <w:ilvl w:val="0"/>
          <w:numId w:val="11"/>
        </w:numPr>
      </w:pPr>
      <w:r>
        <w:rPr/>
        <w:t xml:space="preserve">Autres matériaux (butons, etc.)</w:t>
      </w:r>
    </w:p>
    <w:p>
      <w:pPr>
        <w:pPr/>
        <w:numPr>
          <w:ilvl w:val="0"/>
          <w:numId w:val="11"/>
        </w:numPr>
      </w:pPr>
      <w:r>
        <w:rPr/>
        <w:t xml:space="preserve">Définition des produits accessoires (angles, trémies, refend, etc.).</w:t>
      </w:r>
    </w:p>
    <w:p>
      <w:pPr>
        <w:ind w:left="720" w:right="0"/>
      </w:pPr>
      <w:r>
        <w:rPr>
          <w:rStyle w:val="font_h2"/>
        </w:rPr>
        <w:t xml:space="preserve">4.2. Isolant</w:t>
      </w:r>
    </w:p>
    <w:p>
      <w:pPr/>
      <w:r>
        <w:rPr/>
        <w:t xml:space="preserve">Validé par le Groupe Spécialisé le 26/01/2023</w:t>
      </w:r>
    </w:p>
    <w:p>
      <w:pPr/>
      <w:r>
        <w:rPr>
          <w:b/>
          <w:bCs/>
        </w:rPr>
        <w:t xml:space="preserve">Description</w:t>
      </w:r>
    </w:p>
    <w:p>
      <w:pPr/>
      <w:r>
        <w:rPr/>
        <w:t xml:space="preserve">JD 19-6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Tableau de contrôles réalisées sur chaque isolant revendiqué :JD 19-6 + JD 19-7 :</w:t>
      </w:r>
    </w:p>
    <w:p>
      <w:pPr/>
      <w:r>
        <w:rPr/>
        <w:t xml:space="preserve">Justifier pour les isolants utilisés pour les rupteurs :</w:t>
      </w:r>
    </w:p>
    <w:p>
      <w:pPr>
        <w:pPr/>
        <w:numPr>
          <w:ilvl w:val="0"/>
          <w:numId w:val="13"/>
        </w:numPr>
      </w:pPr>
      <w:r>
        <w:rPr/>
        <w:t xml:space="preserve">Rapport d’essais de réaction au feu et rapport de classement</w:t>
      </w:r>
    </w:p>
    <w:p>
      <w:pPr>
        <w:pPr/>
        <w:numPr>
          <w:ilvl w:val="0"/>
          <w:numId w:val="13"/>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  </w:t>
      </w:r>
    </w:p>
    <w:p>
      <w:pPr/>
      <w:r>
        <w:rPr/>
        <w:t xml:space="preserve">Le produit isolant utilisé doit être celui utilisé pour les essais « feu » et APL   </w:t>
      </w:r>
    </w:p>
    <w:p>
      <w:pPr/>
      <w:r>
        <w:rPr/>
        <w:t xml:space="preserve">Tableau de contrôles réalisées sur chaque isolant revendiqué :  </w:t>
      </w:r>
    </w:p>
    <w:p>
      <w:pPr>
        <w:pPr/>
        <w:numPr>
          <w:ilvl w:val="0"/>
          <w:numId w:val="14"/>
        </w:numPr>
      </w:pPr>
      <w:r>
        <w:rPr/>
        <w:t xml:space="preserve">En usine : Matière première, pendant la fabrication, sur produit fini  </w:t>
      </w:r>
    </w:p>
    <w:p>
      <w:pPr>
        <w:pPr/>
        <w:numPr>
          <w:ilvl w:val="0"/>
          <w:numId w:val="14"/>
        </w:numPr>
      </w:pPr>
      <w:r>
        <w:rPr/>
        <w:t xml:space="preserve">Par un laboratoire extérieur : thermique, mécanique, ….  </w:t>
      </w:r>
    </w:p>
    <w:p>
      <w:pPr/>
      <w:r>
        <w:rPr/>
        <w:t xml:space="preserve">Il doit y être précisé :</w:t>
      </w:r>
    </w:p>
    <w:p>
      <w:pPr>
        <w:pPr/>
        <w:numPr>
          <w:ilvl w:val="0"/>
          <w:numId w:val="15"/>
        </w:numPr>
      </w:pPr>
      <w:r>
        <w:rPr/>
        <w:t xml:space="preserve">Les méthodes d’essais,  </w:t>
      </w:r>
    </w:p>
    <w:p>
      <w:pPr>
        <w:pPr/>
        <w:numPr>
          <w:ilvl w:val="0"/>
          <w:numId w:val="15"/>
        </w:numPr>
      </w:pPr>
      <w:r>
        <w:rPr/>
        <w:t xml:space="preserve">Les fréquences de contrôles,  </w:t>
      </w:r>
    </w:p>
    <w:p>
      <w:pPr>
        <w:pPr/>
        <w:numPr>
          <w:ilvl w:val="0"/>
          <w:numId w:val="15"/>
        </w:numPr>
      </w:pPr>
      <w:r>
        <w:rPr/>
        <w:t xml:space="preserve">Exemple d’étiquette, </w:t>
      </w:r>
    </w:p>
    <w:p>
      <w:pPr>
        <w:pPr/>
        <w:numPr>
          <w:ilvl w:val="0"/>
          <w:numId w:val="15"/>
        </w:numPr>
      </w:pPr>
      <w:r>
        <w:rPr/>
        <w:t xml:space="preserve">Fiche technique pour chaque isolant revendiqué  </w:t>
      </w:r>
    </w:p>
    <w:p>
      <w:pPr>
        <w:pPr/>
        <w:numPr>
          <w:ilvl w:val="1"/>
          <w:numId w:val="15"/>
        </w:numPr>
      </w:pPr>
      <w:r>
        <w:rPr/>
        <w:t xml:space="preserve">Donner les noms des produits isolants utilisés  </w:t>
      </w:r>
    </w:p>
    <w:p>
      <w:pPr>
        <w:pPr/>
        <w:numPr>
          <w:ilvl w:val="0"/>
          <w:numId w:val="15"/>
        </w:numPr>
      </w:pPr>
      <w:r>
        <w:rPr/>
        <w:t xml:space="preserve">DoP pour chaque isolant revendiqué.  </w:t>
      </w:r>
    </w:p>
    <w:p>
      <w:pPr>
        <w:pPr/>
        <w:numPr>
          <w:ilvl w:val="0"/>
          <w:numId w:val="15"/>
        </w:numPr>
      </w:pPr>
      <w:r>
        <w:rPr/>
        <w:t xml:space="preserve">Les isolants revendiqués doivent être compatibles avec l’appréciation laboratoire  </w:t>
      </w:r>
    </w:p>
    <w:p>
      <w:pPr>
        <w:pPr/>
        <w:numPr>
          <w:ilvl w:val="0"/>
          <w:numId w:val="15"/>
        </w:numPr>
      </w:pPr>
      <w:r>
        <w:rPr/>
        <w:t xml:space="preserve">Préciser dans le DTED pour tous les isolants revendiqués :  </w:t>
      </w:r>
    </w:p>
    <w:p>
      <w:pPr>
        <w:pPr/>
        <w:numPr>
          <w:ilvl w:val="1"/>
          <w:numId w:val="15"/>
        </w:numPr>
      </w:pPr>
      <w:r>
        <w:rPr/>
        <w:t xml:space="preserve">Caractéristiques déclarées et utiles (conductivité thermique, résistance thermique, …)  </w:t>
      </w:r>
    </w:p>
    <w:p>
      <w:pPr>
        <w:pPr/>
        <w:numPr>
          <w:ilvl w:val="1"/>
          <w:numId w:val="15"/>
        </w:numPr>
      </w:pPr>
      <w:r>
        <w:rPr/>
        <w:t xml:space="preserve">Etablir une trame de rédaction sur les caractéristiques des isolants  </w:t>
      </w:r>
    </w:p>
    <w:p>
      <w:pPr>
        <w:pPr/>
        <w:numPr>
          <w:ilvl w:val="1"/>
          <w:numId w:val="15"/>
        </w:numPr>
      </w:pPr>
      <w:r>
        <w:rPr/>
        <w:t xml:space="preserve">Epaisseurs  </w:t>
      </w:r>
    </w:p>
    <w:p>
      <w:pPr>
        <w:pPr/>
        <w:numPr>
          <w:ilvl w:val="1"/>
          <w:numId w:val="15"/>
        </w:numPr>
      </w:pPr>
      <w:r>
        <w:rPr/>
        <w:t xml:space="preserve">Masse volumique  </w:t>
      </w:r>
    </w:p>
    <w:p>
      <w:pPr>
        <w:pPr/>
        <w:numPr>
          <w:ilvl w:val="1"/>
          <w:numId w:val="15"/>
        </w:numPr>
      </w:pPr>
      <w:r>
        <w:rPr/>
        <w:t xml:space="preserve">DoP (n°)  </w:t>
      </w:r>
    </w:p>
    <w:p>
      <w:pPr>
        <w:pPr/>
        <w:numPr>
          <w:ilvl w:val="1"/>
          <w:numId w:val="15"/>
        </w:numPr>
      </w:pPr>
      <w:r>
        <w:rPr/>
        <w:t xml:space="preserve">Certificats : n°  </w:t>
      </w:r>
    </w:p>
    <w:p>
      <w:pPr>
        <w:pPr/>
        <w:numPr>
          <w:ilvl w:val="1"/>
          <w:numId w:val="15"/>
        </w:numPr>
      </w:pPr>
      <w:r>
        <w:rPr/>
        <w:t xml:space="preserve">etc.  </w:t>
      </w:r>
    </w:p>
    <w:p>
      <w:pPr>
        <w:pPr/>
        <w:numPr>
          <w:ilvl w:val="0"/>
          <w:numId w:val="16"/>
        </w:numPr>
      </w:pPr>
      <w:r>
        <w:rPr/>
        <w:t xml:space="preserve">Préciser comment est identifié le produit isolant sur le marché : § identification  </w:t>
      </w:r>
    </w:p>
    <w:p>
      <w:pPr>
        <w:pPr/>
        <w:numPr>
          <w:ilvl w:val="0"/>
          <w:numId w:val="16"/>
        </w:numPr>
      </w:pPr>
      <w:r>
        <w:rPr/>
        <w:t xml:space="preserve">Le GS20 demande de fermer les procédés : tous les isolants doivent être identifiés et justifiés  </w:t>
      </w:r>
    </w:p>
    <w:p>
      <w:pPr>
        <w:pPr/>
        <w:numPr>
          <w:ilvl w:val="0"/>
          <w:numId w:val="16"/>
        </w:numPr>
      </w:pPr>
      <w:r>
        <w:rPr/>
        <w:t xml:space="preserve">Le produit isolant doit être identifié avec sa destination commerciale  </w:t>
      </w:r>
    </w:p>
    <w:p>
      <w:pPr>
        <w:pPr/>
        <w:numPr>
          <w:ilvl w:val="1"/>
          <w:numId w:val="16"/>
        </w:numPr>
      </w:pPr>
      <w:r>
        <w:rPr/>
        <w:t xml:space="preserve">En usine : Matière première, pendant la fabrication, sur produit fini  </w:t>
      </w:r>
    </w:p>
    <w:p>
      <w:pPr>
        <w:pPr/>
        <w:numPr>
          <w:ilvl w:val="1"/>
          <w:numId w:val="16"/>
        </w:numPr>
      </w:pPr>
      <w:r>
        <w:rPr/>
        <w:t xml:space="preserve">Par un laboratoire extérieur : thermique, mécanique, ….</w:t>
      </w:r>
    </w:p>
    <w:p>
      <w:pPr/>
      <w:r>
        <w:rPr>
          <w:rStyle w:val="font_h1"/>
        </w:rPr>
        <w:t xml:space="preserve">5.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 valeur-cible, la tolérance et la fréquence de contrôle.</w:t>
      </w:r>
    </w:p>
    <w:p>
      <w:pPr/>
      <w:r>
        <w:rPr>
          <w:b/>
          <w:bCs/>
        </w:rPr>
        <w:t xml:space="preserve">Justification</w:t>
      </w:r>
    </w:p>
    <w:p>
      <w:pPr/>
      <w:r>
        <w:rPr/>
        <w:t xml:space="preserve">Les noms et localisations des usines concernées doivent être indiqués dans le Dossier Technique.</w:t>
      </w:r>
    </w:p>
    <w:p>
      <w:pPr/>
      <w:r>
        <w:rPr>
          <w:rStyle w:val="font_h1"/>
        </w:rPr>
        <w:t xml:space="preserve">6. Identification du produit</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w:t>
      </w:r>
    </w:p>
    <w:p>
      <w:pPr/>
      <w:r>
        <w:rPr>
          <w:rStyle w:val="font_h1"/>
        </w:rPr>
        <w:t xml:space="preserve">8.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Justification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9. Règles de conception</w:t>
      </w:r>
    </w:p>
    <w:p>
      <w:pPr>
        <w:ind w:left="720" w:right="0"/>
      </w:pPr>
      <w:r>
        <w:rPr>
          <w:rStyle w:val="font_h2"/>
        </w:rPr>
        <w:t xml:space="preserve">9.1. Conception statique</w:t>
      </w:r>
    </w:p>
    <w:p>
      <w:pPr/>
      <w:r>
        <w:rPr/>
        <w:t xml:space="preserve">Validé par le Groupe Spécialisé le 08/10/2019</w:t>
      </w:r>
    </w:p>
    <w:p>
      <w:pPr/>
      <w:r>
        <w:rPr>
          <w:b/>
          <w:bCs/>
        </w:rPr>
        <w:t xml:space="preserve">Description</w:t>
      </w:r>
    </w:p>
    <w:p>
      <w:pPr/>
      <w:r>
        <w:rPr/>
        <w:t xml:space="preserve">L’insertion de rupteurs dans le bâtiment va modifier le comportement de l’élément porté (balcon, acrotère, …) sur un certain nombre d’aspects qu’il conviendra d’évaluer. 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Méthode de dimensionnement</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Méthodologie de dimensionnement des rupteurs :</w:t>
      </w:r>
    </w:p>
    <w:p>
      <w:pPr>
        <w:pPr/>
        <w:numPr>
          <w:ilvl w:val="1"/>
          <w:numId w:val="17"/>
        </w:numPr>
      </w:pPr>
      <w:r>
        <w:rPr/>
        <w:t xml:space="preserve">Méthode de calcul des sollicitations par le bureau d’études structure de l’opération</w:t>
      </w:r>
    </w:p>
    <w:p>
      <w:pPr>
        <w:pPr/>
        <w:numPr>
          <w:ilvl w:val="1"/>
          <w:numId w:val="17"/>
        </w:numPr>
      </w:pPr>
      <w:r>
        <w:rPr/>
        <w:t xml:space="preserve">Comparaison avec les capacités résistantes et détail de la méthodologie de prise en compte de la concomitance des sollicitations et des aspects de robustesse. </w:t>
      </w:r>
    </w:p>
    <w:p>
      <w:pPr>
        <w:pPr/>
        <w:numPr>
          <w:ilvl w:val="0"/>
          <w:numId w:val="17"/>
        </w:numPr>
      </w:pPr>
      <w:r>
        <w:rPr/>
        <w:t xml:space="preserve">Déformation du balcon: La liaison balcon/façade étant assouplie par l’insertion de rupteurs, la flèche du balcon va être accentuée par rapport au cas d’une liaison continue traditionnelle. Il convient de détailler la méthodologie de calcul de la flèche (et de la contre-flèche éventuelle) du balcon afin de tenir compte de l’influence des rupteurs.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w:t>
      </w:r>
    </w:p>
    <w:p>
      <w:pPr/>
      <w:r>
        <w:rPr/>
        <w:t xml:space="preserve">Cas 2 - Caractérisation analytique  (si principes et méthodes de calcul connus (Eurocodes, Model Code, …) ) avec validation par essai : il est possible de calculer les capacités résistantes analytiquement à condition de détailler le modèle analytique utilisé. Un essai de validation de ce modèle analytique dans chaque direction (pour chaque capacité résistante) est nécessaire. </w:t>
      </w:r>
    </w:p>
    <w:p>
      <w:pPr/>
      <w:r>
        <w:rPr/>
        <w:t xml:space="preserve">Dans le cas d’une gamme étendue, il conviendra de démontrer que la validation expérimentale justifie le modèle analytique pour la totalité de la gamme.</w:t>
      </w:r>
    </w:p>
    <w:p>
      <w:pPr/>
      <w:r>
        <w:rPr/>
        <w:t xml:space="preserve">Dans tous les cas, il conviendra de justifier la méthodologie de prise en compte de la concomitance des sollicitations sur lacapacité résistante des rupteurs thermiques.</w:t>
      </w:r>
    </w:p>
    <w:p>
      <w:pPr/>
      <w:r>
        <w:rPr/>
        <w:t xml:space="preserve">Si l’utilisation pour des murs préfabriqués et maçonnerie est visée, des études et dispositions constructives spécifiquessont à prévoir</w:t>
      </w:r>
    </w:p>
    <w:p>
      <w:pPr>
        <w:ind w:left="720" w:right="0"/>
      </w:pPr>
      <w:r>
        <w:rPr>
          <w:rStyle w:val="font_h2"/>
        </w:rPr>
        <w:t xml:space="preserve">9.2. Prise en compte de la dilatation thermique et du retrait</w:t>
      </w:r>
    </w:p>
    <w:p>
      <w:pPr/>
      <w:r>
        <w:rPr/>
        <w:t xml:space="preserve">Validé par le Groupe Spécialisé le 08/10/2019</w:t>
      </w:r>
    </w:p>
    <w:p>
      <w:pPr/>
      <w:r>
        <w:rPr>
          <w:b/>
          <w:bCs/>
        </w:rPr>
        <w:t xml:space="preserve">Description</w:t>
      </w:r>
    </w:p>
    <w:p>
      <w:pPr/>
      <w:r>
        <w:rPr/>
        <w:t xml:space="preserve">-Méthode de dimensionnement</w:t>
      </w:r>
    </w:p>
    <w:p>
      <w:pPr/>
      <w:r>
        <w:rPr/>
        <w:t xml:space="preserve">-Sous l’effet des conditions climatiques extérieure et du retrait, les éléments béton exposé vont se dilater (cas été) ou se contracter (cas hiver).Il convient de déterminer l’espacement maximal entre joints de fractionnement permettant aux rupteurs de continuer à transmettre les charges dans leur domaine élastique à l’ELS (Sous Combinaison fréquente). Les effets du retrait peuvent être négligés pour cette vérification de non plastification à l’ELS sous combinaison fréquente. </w:t>
      </w:r>
    </w:p>
    <w:p>
      <w:pPr/>
      <w:r>
        <w:rPr/>
        <w:t xml:space="preserve">Le calcul de l’espacement maximum entre joints de fractionnement doit être réalisé sous la combinaison de charge {G+0.5T+0.3Q}  pour l’ensemble de la gamme de rupteur visée. Ce calcul devra être réalisé pour des valeurs de G et de Q correspondant à un cas enveloppe du domaine d’utilisation de chaque gamme de rupteur.</w:t>
      </w:r>
    </w:p>
    <w:p>
      <w:pPr/>
      <w:r>
        <w:rPr/>
        <w:t xml:space="preserve">Pour cette vérification, on pourra considérer par défaut un différentiel thermique entre façade et élément porté considéré  -ΔT=30°C (24°C en régime permanent; ±6°C variation journalière) </w:t>
      </w:r>
    </w:p>
    <w:p>
      <w:pPr/>
      <w:r>
        <w:rPr/>
        <w:t xml:space="preserve">NOTA : les distances entre joints de fractionnement devront également être conformes aux règles de l’art (DTU 20.1,  FD-P18-717, …).</w:t>
      </w:r>
    </w:p>
    <w:p>
      <w:pPr/>
      <w:r>
        <w:rPr>
          <w:b/>
          <w:bCs/>
        </w:rPr>
        <w:t xml:space="preserve">Critères d'évaluation</w:t>
      </w:r>
    </w:p>
    <w:p>
      <w:pPr>
        <w:pPr/>
        <w:numPr>
          <w:ilvl w:val="0"/>
          <w:numId w:val="18"/>
        </w:numPr>
      </w:pPr>
      <w:r>
        <w:rPr/>
        <w:t xml:space="preserve">Stabilité des éléments de structure à l’ELU</w:t>
      </w:r>
    </w:p>
    <w:p>
      <w:pPr>
        <w:pPr/>
        <w:numPr>
          <w:ilvl w:val="0"/>
          <w:numId w:val="18"/>
        </w:numPr>
      </w:pPr>
      <w:r>
        <w:rPr/>
        <w:t xml:space="preserve">Non-plastification des rupteurs à l’ELS</w:t>
      </w:r>
    </w:p>
    <w:p>
      <w:pPr>
        <w:pPr/>
        <w:numPr>
          <w:ilvl w:val="0"/>
          <w:numId w:val="18"/>
        </w:numPr>
      </w:pPr>
      <w:r>
        <w:rPr/>
        <w:t xml:space="preserve">Capacité de déformation post-élastique du rupteur suffisante pour équilibrer les sollicitations à l’ELU (charges permanentes, charges d’exploitation, gradient thermique, …).</w:t>
      </w:r>
    </w:p>
    <w:p>
      <w:pPr>
        <w:ind w:left="720" w:right="0"/>
      </w:pPr>
      <w:r>
        <w:rPr>
          <w:rStyle w:val="font_h2"/>
        </w:rPr>
        <w:t xml:space="preserve">9.3. Conception sismique</w:t>
      </w:r>
    </w:p>
    <w:p>
      <w:pPr/>
      <w:r>
        <w:rPr/>
        <w:t xml:space="preserve">Validé par le Groupe Spécialisé le 24/01/2024</w:t>
      </w:r>
    </w:p>
    <w:p>
      <w:pPr/>
      <w:r>
        <w:rPr>
          <w:b/>
          <w:bCs/>
        </w:rPr>
        <w:t xml:space="preserve">Description</w:t>
      </w:r>
    </w:p>
    <w:p>
      <w:pPr/>
      <w:r>
        <w:rPr/>
        <w:t xml:space="preserve">Identification des capacités résistantes du rupteur sous sollicitations sismiques (ELS, ELU) : (Vx,d,s ; Vy,d,s ; Vz,d,s ; MRd,s)</w:t>
      </w:r>
    </w:p>
    <w:p>
      <w:pPr/>
      <w:r>
        <w:rPr/>
        <w:t xml:space="preserve">Méthode de dimensionnement</w:t>
      </w:r>
    </w:p>
    <w:p>
      <w:pPr>
        <w:pPr/>
        <w:numPr>
          <w:ilvl w:val="0"/>
          <w:numId w:val="19"/>
        </w:numPr>
      </w:pPr>
      <w:r>
        <w:rPr/>
        <w:t xml:space="preserve">Calcul des sollicitations par le bureau d’études structure de l’opération suivant le §4.3.5 de la norme NF EN 1998-1 pour les acrotères et bandeaux filants en saillie. Les acrotères et les bandeaux filants en saillie peuvent être considérés comme des éléments non structuraux au sens de la norme NF EN 1998-1.</w:t>
      </w:r>
    </w:p>
    <w:p>
      <w:pPr>
        <w:pPr/>
        <w:numPr>
          <w:ilvl w:val="0"/>
          <w:numId w:val="19"/>
        </w:numPr>
      </w:pPr>
      <w:r>
        <w:rPr/>
        <w:t xml:space="preserve">Calcul des sollicitations par le bureau d’études structure de l’opération suivant la norme NF EN 1998-1 pour les balcons. Les balcons sont des éléments sismiques secondaires au sens de la norme NF EN 1998-1. </w:t>
      </w:r>
    </w:p>
    <w:p>
      <w:pPr>
        <w:pPr/>
        <w:numPr>
          <w:ilvl w:val="0"/>
          <w:numId w:val="19"/>
        </w:numPr>
      </w:pPr>
      <w:r>
        <w:rPr/>
        <w:t xml:space="preserve">L'action thermique et l'action sismique ne sont pas concomitantes.</w:t>
      </w:r>
    </w:p>
    <w:p>
      <w:pPr>
        <w:pPr/>
        <w:numPr>
          <w:ilvl w:val="0"/>
          <w:numId w:val="19"/>
        </w:numPr>
      </w:pPr>
      <w:r>
        <w:rPr/>
        <w:t xml:space="preserve">Comparaison avec les capacités résistantes sous sollicitations sismiques et détail de la méthodologie de prise en compte de la concomitance des sollicitations.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 </w:t>
      </w:r>
    </w:p>
    <w:p>
      <w:pPr/>
      <w:r>
        <w:rPr/>
        <w:t xml:space="preserve">Cas 2 : Caractérisation analytique (si principes et méthodes de calcul connus (Eurocodes, Model Code, …) ) avec validation par essai : il est possible de calculer les capacités résistantes analytiquement à condition de bien détailler le modèle analytique utilisé. Un essai de validation de ce modèle analytique dans chaque direction est nécessaire. Dans le cas d’une gamme étendue, il conviendra de démontrer que la validation expérimentale justifie le modèle analytique pour la totalité de la gamme.</w:t>
      </w:r>
    </w:p>
    <w:p>
      <w:pPr/>
      <w:r>
        <w:rPr/>
        <w:t xml:space="preserve">La qualification expérimentale de rupteurs pour une utilisation sous action sismique doit comprendre :</w:t>
      </w:r>
    </w:p>
    <w:p>
      <w:pPr>
        <w:pPr/>
        <w:numPr>
          <w:ilvl w:val="0"/>
          <w:numId w:val="20"/>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0"/>
          <w:numId w:val="20"/>
        </w:numPr>
      </w:pPr>
      <w:r>
        <w:rPr/>
        <w:t xml:space="preserve">Dans le domaine plastique, trains de cycles d’un minimum de 3 cycles pour des niveaux de chargement à définir par le demandeur.</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Metallique).</w:t>
      </w:r>
    </w:p>
    <w:p>
      <w:pPr/>
      <w:r>
        <w:rPr/>
        <w:t xml:space="preserve">Dans tous les cas, il conviendra de justifier la méthodologie de prise en compte de la concomitance des sollicitations sur la capacité résistante des rupteurs thermiques.</w:t>
      </w:r>
    </w:p>
    <w:p>
      <w:pPr/>
      <w:r>
        <w:rPr/>
        <w:t xml:space="preserve">Exemple de note de calcul :</w:t>
      </w:r>
    </w:p>
    <w:p>
      <w:pPr>
        <w:pPr/>
        <w:numPr>
          <w:ilvl w:val="0"/>
          <w:numId w:val="21"/>
        </w:numPr>
      </w:pPr>
      <w:r>
        <w:rPr/>
        <w:t xml:space="preserve">Le §4.3.5 de la norme NF EN 1998-1 concernant les éléments non structuraux pourra être appliqué. Il convient de vérifier l’élément non structural (acrotère, bandeaux filants en saillie, etc.) sous charges ascendantes/descendante (accélération verticale), dans le plan (cisaillement) et hors plan (compression/traction).</w:t>
      </w:r>
    </w:p>
    <w:p>
      <w:pPr>
        <w:pPr/>
        <w:numPr>
          <w:ilvl w:val="0"/>
          <w:numId w:val="21"/>
        </w:numPr>
      </w:pPr>
      <w:r>
        <w:rPr/>
        <w:t xml:space="preserve">Le calcul est réalisé considérant les balcons comme des éléments structuraux secondaires au sens de la norme NF EN 1998-1, à moins qu'il ne soit démontré que l'application du §4.3.5 de la norme NF EN 1998-1 est sécuritaire.</w:t>
      </w:r>
    </w:p>
    <w:p>
      <w:pPr>
        <w:ind w:left="720" w:right="0"/>
      </w:pPr>
      <w:r>
        <w:rPr>
          <w:rStyle w:val="font_h2"/>
        </w:rPr>
        <w:t xml:space="preserve">9.4.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du rupteur pour les vérifications vis-à-vis des combinaisons de charges accidentelles. </w:t>
      </w:r>
    </w:p>
    <w:p>
      <w:pPr/>
      <w:r>
        <w:rPr/>
        <w:t xml:space="preserve">Par défaut, un coefficient Gamma rep = 1.5 est à considérer sur les capacités portantes.</w:t>
      </w:r>
    </w:p>
    <w:p>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r>
        <w:rPr>
          <w:rStyle w:val="font_h1"/>
        </w:rPr>
        <w:t xml:space="preserve">10. Stabilité à chaud</w:t>
      </w:r>
    </w:p>
    <w:p>
      <w:pPr/>
      <w:r>
        <w:rPr/>
        <w:t xml:space="preserve">Validé par le Groupe Spécialisé le 08/10/2019</w:t>
      </w:r>
    </w:p>
    <w:p>
      <w:pPr/>
      <w:r>
        <w:rPr>
          <w:b/>
          <w:bCs/>
        </w:rPr>
        <w:t xml:space="preserve">Description</w:t>
      </w:r>
    </w:p>
    <w:p>
      <w:pPr/>
      <w:r>
        <w:rPr/>
        <w:t xml:space="preserve">Pour les procédés non traditionnels, le classement R doit être attribué par un PV ou une appréciation de laboratoire agréé. Dans le cas des rupteurs structuraux en ITE, on rentre dans le cadre de la norme EN 1365-5,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1365-5. </w:t>
      </w:r>
    </w:p>
    <w:p>
      <w:pPr/>
      <w:r>
        <w:rPr/>
        <w:t xml:space="preserve">Il convient de procéder à un essai sur chaque type de support visé.</w:t>
      </w:r>
    </w:p>
    <w:p>
      <w:pPr/>
      <w:r>
        <w:rPr/>
        <w:t xml:space="preserve">Un PV de classement R établi par un Laboratoire agréé est nécessaire. </w:t>
      </w:r>
    </w:p>
    <w:p>
      <w:pPr/>
      <w:r>
        <w:rPr/>
        <w:t xml:space="preserve">Pour les critères E et I, si C+D visé, une appréciation de laboratoire établie par un Laboratoire agrée est nécessaire.</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utilisation d’accessoires spécifiques (étaiements, banches, etc.), positionnement des éléments préfabriqués (si visé), coulage du béton.</w:t>
      </w:r>
    </w:p>
    <w:p>
      <w:pPr/>
      <w:r>
        <w:rPr/>
        <w:t xml:space="preserve">Traitement des points singuliers (angles rentrant et sortant, décalages plancher/balcon, etc.)</w:t>
      </w:r>
    </w:p>
    <w:p>
      <w:pPr/>
      <w:r>
        <w:rPr>
          <w:b/>
          <w:bCs/>
        </w:rPr>
        <w:t xml:space="preserve">Justification</w:t>
      </w:r>
    </w:p>
    <w:p>
      <w:pPr/>
      <w:r>
        <w:rPr/>
        <w:t xml:space="preserve">Notice de pose, schémas cotés et de coupes verticales et horizontales.</w:t>
      </w:r>
    </w:p>
    <w:p>
      <w:pPr/>
      <w:r>
        <w:rPr/>
        <w:t xml:space="preserve">L’ensemble des configurations visées doit faire l’objet de schémas.</w:t>
      </w:r>
    </w:p>
    <w:p>
      <w:pPr/>
      <w:r>
        <w:rPr>
          <w:b/>
          <w:bCs/>
        </w:rPr>
        <w:t xml:space="preserve">Critères d'évaluation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les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22"/>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22"/>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22"/>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13. Acoustique</w:t>
      </w:r>
    </w:p>
    <w:p>
      <w:pPr/>
      <w:r>
        <w:rPr/>
        <w:t xml:space="preserve">Validé par le Groupe Spécialisé le 08/10/2019</w:t>
      </w:r>
    </w:p>
    <w:p>
      <w:pPr/>
      <w:r>
        <w:rPr>
          <w:b/>
          <w:bCs/>
        </w:rPr>
        <w:t xml:space="preserve">Description</w:t>
      </w:r>
    </w:p>
    <w:p>
      <w:pPr/>
      <w:r>
        <w:rPr/>
        <w:t xml:space="preserve">Justifier que le procédé de rupteurs thermiques ne modifie pas l’isolement acoustique de la façade et ne détériore pas les performances acoustiques du bâtiment.</w:t>
      </w:r>
    </w:p>
    <w:p>
      <w:pPr/>
      <w:r>
        <w:rPr>
          <w:rStyle w:val="font_h1"/>
        </w:rPr>
        <w:t xml:space="preserve">14. Finitions</w:t>
      </w:r>
    </w:p>
    <w:p>
      <w:pPr/>
      <w:r>
        <w:rPr/>
        <w:t xml:space="preserve">Validé par le Groupe Spécialisé le 08/10/2019</w:t>
      </w:r>
    </w:p>
    <w:p>
      <w:pPr/>
      <w:r>
        <w:rPr>
          <w:b/>
          <w:bCs/>
        </w:rPr>
        <w:t xml:space="preserve">Description</w:t>
      </w:r>
    </w:p>
    <w:p>
      <w:pPr/>
      <w:r>
        <w:rPr/>
        <w:t xml:space="preserve">Décrire les solutions de finitions prévues pour les sols et les plafonds accompagnées de schémas.</w:t>
      </w:r>
    </w:p>
    <w:p>
      <w:pPr/>
      <w:r>
        <w:rPr>
          <w:rStyle w:val="font_h1"/>
        </w:rPr>
        <w:t xml:space="preserve">15. Etanchéité des toitures-terrasses (rupteurs d’acrotères) et des balcons/coursives</w:t>
      </w:r>
    </w:p>
    <w:p>
      <w:pPr/>
      <w:r>
        <w:rPr/>
        <w:t xml:space="preserve">Validé par le Groupe Spécialisé le 08/10/2019</w:t>
      </w:r>
    </w:p>
    <w:p>
      <w:pPr/>
      <w:r>
        <w:rPr>
          <w:b/>
          <w:bCs/>
        </w:rPr>
        <w:t xml:space="preserve">Description</w:t>
      </w:r>
    </w:p>
    <w:p>
      <w:pPr/>
      <w:r>
        <w:rPr/>
        <w:t xml:space="preserve">Description de l’étanchéité des toitures-terrasses (rupteurs d’acrotères) et des balcons/coursives</w:t>
      </w:r>
    </w:p>
    <w:p>
      <w:pPr/>
      <w:r>
        <w:rPr>
          <w:b/>
          <w:bCs/>
        </w:rPr>
        <w:t xml:space="preserve">Justification</w:t>
      </w:r>
    </w:p>
    <w:p>
      <w:pPr/>
      <w:r>
        <w:rPr/>
        <w:t xml:space="preserve">-Justification de la compatibilité des revêtements d’étanchéité prévus dans le cas spécifique des toitures terrasses.</w:t>
      </w:r>
    </w:p>
    <w:p>
      <w:pPr/>
      <w:r>
        <w:rPr/>
        <w:t xml:space="preserve">-Justification de la bonne tenue de l’isolant du rupteur dans le cas de la mise en œuvre de l’étanchéité à la flamme.</w:t>
      </w:r>
    </w:p>
    <w:p>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 »</w:t>
      </w:r>
    </w:p>
    <w:p>
      <w:pPr/>
      <w:r>
        <w:rPr>
          <w:b/>
          <w:bCs/>
        </w:rPr>
        <w:t xml:space="preserve">Critères d'évaluation</w:t>
      </w:r>
    </w:p>
    <w:p>
      <w:pPr/>
      <w:r>
        <w:rPr/>
        <w:t xml:space="preserve">Le Groupe Spécialisé n° 5.2 sera consulté pour la validation de ces dispositions.</w:t>
      </w:r>
    </w:p>
    <w:p>
      <w:pPr/>
      <w:r>
        <w:rPr>
          <w:rStyle w:val="font_h1"/>
        </w:rPr>
        <w:t xml:space="preserve">16.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17. Références</w:t>
      </w:r>
    </w:p>
    <w:p>
      <w:pPr/>
      <w:r>
        <w:rPr/>
        <w:t xml:space="preserve">Validé par le Groupe Spécialisé le 08/10/2019</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6BD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D199F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F1CE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07BE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033A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B345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DE40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C009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27DD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1D49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F8C1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901B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5ECF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CC12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2025-07-02T04:38:30+02:00</dcterms:created>
  <dcterms:modified xsi:type="dcterms:W3CDTF">2025-07-02T04:38:30+02:00</dcterms:modified>
</cp:coreProperties>
</file>

<file path=docProps/custom.xml><?xml version="1.0" encoding="utf-8"?>
<Properties xmlns="http://schemas.openxmlformats.org/officeDocument/2006/custom-properties" xmlns:vt="http://schemas.openxmlformats.org/officeDocument/2006/docPropsVTypes"/>
</file>