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Panneaux de contreventement pour ossature</w:t>
      </w:r>
    </w:p>
    <w:p>
      <w:pPr/>
      <w:r>
        <w:rPr>
          <w:rStyle w:val="font_h1"/>
        </w:rPr>
        <w:t xml:space="preserve">1. Principe et classe du système</w:t>
      </w:r>
    </w:p>
    <w:p>
      <w:pPr/>
      <w:r>
        <w:rPr/>
        <w:t xml:space="preserve">Validé par le Groupe Spécialisé le 09/02/2021</w:t>
      </w:r>
    </w:p>
    <w:p>
      <w:pPr/>
      <w:r>
        <w:rPr>
          <w:b/>
          <w:bCs/>
        </w:rPr>
        <w:t xml:space="preserve">Description</w:t>
      </w:r>
    </w:p>
    <w:p>
      <w:pPr/>
      <w:r>
        <w:rPr/>
        <w:t xml:space="preserve">-Décrire le principe des panneaux de contreventement: voiles travaillants sur ossatures bois conformes au DTU 31.2</w:t>
      </w:r>
    </w:p>
    <w:p>
      <w:pPr/>
      <w:r>
        <w:rPr/>
        <w:t xml:space="preserve">-Préciser la nature du matériau constitutif des panneaux.</w:t>
      </w:r>
    </w:p>
    <w:p>
      <w:pPr/>
      <w:r>
        <w:rPr/>
        <w:t xml:space="preserve">-Organes de fixation visés à décrire en identifiant les organes de fixation visés en zones sismiques.</w:t>
      </w:r>
    </w:p>
    <w:p>
      <w:pPr/>
      <w:r>
        <w:rPr>
          <w:rStyle w:val="font_h1"/>
        </w:rPr>
        <w:t xml:space="preserve">2. Domaine d'emploi</w:t>
      </w:r>
    </w:p>
    <w:p>
      <w:pPr/>
      <w:r>
        <w:rPr/>
        <w:t xml:space="preserve">Validé par le Groupe Spécialisé le 09/02/2021</w:t>
      </w:r>
    </w:p>
    <w:p>
      <w:pPr/>
      <w:r>
        <w:rPr>
          <w:b/>
          <w:bCs/>
        </w:rPr>
        <w:t xml:space="preserve">Description</w:t>
      </w:r>
    </w:p>
    <w:p>
      <w:pPr/>
      <w:r>
        <w:rPr/>
        <w:t xml:space="preserve">Détailler le domaine d’emploi visé : </w:t>
      </w:r>
    </w:p>
    <w:p>
      <w:pPr/>
      <w:r>
        <w:rPr/>
        <w:t xml:space="preserve">-Type de bâtiments et hauteur maximale</w:t>
      </w:r>
    </w:p>
    <w:p>
      <w:pPr/>
      <w:r>
        <w:rPr/>
        <w:t xml:space="preserve">-Type de support</w:t>
      </w:r>
    </w:p>
    <w:p>
      <w:pPr/>
      <w:r>
        <w:rPr/>
        <w:t xml:space="preserve">-Pose côté intérieur [et/ou] extérieur (avec nombre maximum de couches de panneaux superposées). </w:t>
      </w:r>
    </w:p>
    <w:p>
      <w:pPr/>
      <w:r>
        <w:rPr/>
        <w:t xml:space="preserve">-Pose en façade et en mur intérieur. </w:t>
      </w:r>
    </w:p>
    <w:p>
      <w:pPr/>
      <w:r>
        <w:rPr/>
        <w:t xml:space="preserve">-Classes de service au sens de la norme NF EN 1995-1-1. </w:t>
      </w:r>
    </w:p>
    <w:p>
      <w:pPr/>
      <w:r>
        <w:rPr/>
        <w:t xml:space="preserve">-Utilisation des panneaux en locaux humides</w:t>
      </w:r>
    </w:p>
    <w:p>
      <w:pPr/>
      <w:r>
        <w:rPr/>
        <w:t xml:space="preserve">-Finitions intérieures et extérieures visées.</w:t>
      </w:r>
    </w:p>
    <w:p>
      <w:pPr/>
      <w:r>
        <w:rPr/>
        <w:t xml:space="preserve">-Zones géographiques</w:t>
      </w:r>
    </w:p>
    <w:p>
      <w:pPr/>
      <w:r>
        <w:rPr/>
        <w:t xml:space="preserve">-Zones sismiques et catégories d’importance de bâtiments</w:t>
      </w:r>
    </w:p>
    <w:p>
      <w:pPr/>
      <w:r>
        <w:rPr/>
        <w:t xml:space="preserve">-Utilisation revendiquée dans les DROM-COM </w:t>
      </w:r>
    </w:p>
    <w:p>
      <w:pPr/>
      <w:r>
        <w:rPr/>
        <w:t xml:space="preserve">-Domaine d’emploi du procédé vis-à-vis de la sécurité incendie (nature des locaux et localisation du mur – application du Guide « Bois construction et propagation du feu par les façades »)</w:t>
      </w:r>
    </w:p>
    <w:p>
      <w:pPr/>
      <w:r>
        <w:rPr>
          <w:b/>
          <w:bCs/>
        </w:rPr>
        <w:t xml:space="preserve">Justification</w:t>
      </w:r>
    </w:p>
    <w:p>
      <w:pPr/>
      <w:r>
        <w:rPr/>
        <w:t xml:space="preserve">Liste de références chantier représentatives du domaine d'emploi visé.</w:t>
      </w:r>
    </w:p>
    <w:p>
      <w:pPr/>
      <w:r>
        <w:rPr>
          <w:rStyle w:val="font_h1"/>
        </w:rPr>
        <w:t xml:space="preserve">3. Matériaux</w:t>
      </w:r>
    </w:p>
    <w:p>
      <w:pPr>
        <w:ind w:left="720" w:right="0"/>
      </w:pPr>
      <w:r>
        <w:rPr>
          <w:rStyle w:val="font_h2"/>
        </w:rPr>
        <w:t xml:space="preserve">3.1. Panneaux</w:t>
      </w:r>
    </w:p>
    <w:p>
      <w:pPr/>
      <w:r>
        <w:rPr/>
        <w:t xml:space="preserve">Validé par le Groupe Spécialisé le 21/06/2023</w:t>
      </w:r>
    </w:p>
    <w:p>
      <w:pPr/>
      <w:r>
        <w:rPr>
          <w:b/>
          <w:bCs/>
        </w:rPr>
        <w:t xml:space="preserve">Description</w:t>
      </w:r>
    </w:p>
    <w:p>
      <w:pPr/>
      <w:r>
        <w:rPr/>
        <w:t xml:space="preserve">Description des panneaux et de leurs caractéristiques : </w:t>
      </w:r>
    </w:p>
    <w:p>
      <w:pPr>
        <w:pPr/>
        <w:numPr>
          <w:ilvl w:val="0"/>
          <w:numId w:val="9"/>
        </w:numPr>
      </w:pPr>
      <w:r>
        <w:rPr/>
        <w:t xml:space="preserve">Matériau constitutif des panneaux, revêtement/traitement.</w:t>
      </w:r>
    </w:p>
    <w:p>
      <w:pPr>
        <w:pPr/>
        <w:numPr>
          <w:ilvl w:val="0"/>
          <w:numId w:val="9"/>
        </w:numPr>
      </w:pPr>
      <w:r>
        <w:rPr/>
        <w:t xml:space="preserve">Épaisseurs des panneaux.</w:t>
      </w:r>
    </w:p>
    <w:p>
      <w:pPr>
        <w:pPr/>
        <w:numPr>
          <w:ilvl w:val="0"/>
          <w:numId w:val="9"/>
        </w:numPr>
      </w:pPr>
      <w:r>
        <w:rPr/>
        <w:t xml:space="preserve">Dimensions des panneaux standards et dimensions maximales des plaques disponibles sur commande.  </w:t>
      </w:r>
    </w:p>
    <w:p>
      <w:pPr>
        <w:pPr/>
        <w:numPr>
          <w:ilvl w:val="0"/>
          <w:numId w:val="9"/>
        </w:numPr>
      </w:pPr>
      <w:r>
        <w:rPr/>
        <w:t xml:space="preserve">Traitement des chants.</w:t>
      </w:r>
    </w:p>
    <w:p>
      <w:pPr>
        <w:pPr/>
        <w:numPr>
          <w:ilvl w:val="0"/>
          <w:numId w:val="9"/>
        </w:numPr>
      </w:pPr>
      <w:r>
        <w:rPr/>
        <w:t xml:space="preserve">Norme produit/ETA de référence le cas échéant. </w:t>
      </w:r>
    </w:p>
    <w:p>
      <w:pPr>
        <w:pPr/>
        <w:numPr>
          <w:ilvl w:val="0"/>
          <w:numId w:val="9"/>
        </w:numPr>
      </w:pPr>
      <w:r>
        <w:rPr/>
        <w:t xml:space="preserve">Caractéristiques physiques et mécaniques : tolérances dimensionnelles, masse volumique, résistance en flexion perpendiculaire au plan, résistance aux chocs, facteur de résistance à la diffusion à la vapeur d’eau, épaisseur de lame d’air équivalente, conductivité thermique, variation dimensionnelle, poids des panneaux, dureté, PCS, reprise d’eau, absorption d’eau, résistance en flexion après humidification.</w:t>
      </w:r>
    </w:p>
    <w:p>
      <w:pPr>
        <w:pPr/>
        <w:numPr>
          <w:ilvl w:val="0"/>
          <w:numId w:val="9"/>
        </w:numPr>
      </w:pPr>
      <w:r>
        <w:rPr/>
        <w:t xml:space="preserve">Coefficients kmod et kdef nécessaires au dimensionnement</w:t>
      </w:r>
    </w:p>
    <w:p>
      <w:pPr>
        <w:pPr/>
        <w:numPr>
          <w:ilvl w:val="0"/>
          <w:numId w:val="9"/>
        </w:numPr>
      </w:pPr>
      <w:r>
        <w:rPr/>
        <w:t xml:space="preserve">Présenter les dispositions constructives à respecter permettant d'assurer la durabilité des panneaux</w:t>
      </w:r>
    </w:p>
    <w:p>
      <w:pPr>
        <w:pPr/>
        <w:numPr>
          <w:ilvl w:val="0"/>
          <w:numId w:val="9"/>
        </w:numPr>
      </w:pPr>
      <w:r>
        <w:rPr/>
        <w:t xml:space="preserve">Préciser si les panneaux assurent également la fonction pare-pluie. Dans ce cas, soit les procédé est conforme au DTU 31.2, soit il fait l'objet d'une consultation au GS2.1 "Produits et procédé de façade légère"</w:t>
      </w:r>
    </w:p>
    <w:p>
      <w:pPr>
        <w:pPr/>
        <w:numPr>
          <w:ilvl w:val="0"/>
          <w:numId w:val="9"/>
        </w:numPr>
      </w:pPr>
      <w:r>
        <w:rPr/>
        <w:t xml:space="preserve">Préciser si les panneaux sont susceptibles de jouer le rôle d'écran thermique. Dans ce cas, la double fonction "contreventement" et "écran thermique" pour un même panneau devra être justifié par essais.</w:t>
      </w:r>
    </w:p>
    <w:p>
      <w:pPr/>
      <w:r>
        <w:rPr>
          <w:b/>
          <w:bCs/>
        </w:rPr>
        <w:t xml:space="preserve">Justification</w:t>
      </w:r>
    </w:p>
    <w:p>
      <w:pPr/>
      <w:r>
        <w:rPr/>
        <w:t xml:space="preserve">Rapports d'essais par un laboratoire indépendant permettant de justifier les caractéristiques mécaniques et physiques des panneaux.</w:t>
      </w:r>
    </w:p>
    <w:p>
      <w:pPr/>
      <w:r>
        <w:rPr>
          <w:b/>
          <w:bCs/>
        </w:rPr>
        <w:t xml:space="preserve">Illustration</w:t>
      </w:r>
    </w:p>
    <w:p>
      <w:pPr/>
      <w:r>
        <w:rPr/>
        <w:t xml:space="preserve">Schéma de principe illustrant les panneaux (dimensions maximales)</w:t>
      </w:r>
    </w:p>
    <w:p>
      <w:pPr>
        <w:ind w:left="720" w:right="0"/>
      </w:pPr>
      <w:r>
        <w:rPr>
          <w:rStyle w:val="font_h2"/>
        </w:rPr>
        <w:t xml:space="preserve">3.2. Autres matériaux</w:t>
      </w:r>
    </w:p>
    <w:p>
      <w:pPr/>
      <w:r>
        <w:rPr/>
        <w:t xml:space="preserve">Validé par le Groupe Spécialisé le 09/02/2021</w:t>
      </w:r>
    </w:p>
    <w:p>
      <w:pPr/>
      <w:r>
        <w:rPr>
          <w:b/>
          <w:bCs/>
        </w:rPr>
        <w:t xml:space="preserve">Description</w:t>
      </w:r>
    </w:p>
    <w:p>
      <w:pPr/>
      <w:r>
        <w:rPr/>
        <w:t xml:space="preserve">Description des accessoires et des autres matériaux associés aux plaques: </w:t>
      </w:r>
    </w:p>
    <w:p>
      <w:pPr/>
      <w:r>
        <w:rPr/>
        <w:t xml:space="preserve">-Organes de fixation (type (pointe, vis, agrafe, …), dimensions, matériau, norme produit et/ou ETE). </w:t>
      </w:r>
    </w:p>
    <w:p>
      <w:pPr/>
      <w:r>
        <w:rPr/>
        <w:t xml:space="preserve">-Colle pour joint entre panneaux le cas échéant. </w:t>
      </w:r>
    </w:p>
    <w:p>
      <w:pPr/>
      <w:r>
        <w:rPr/>
        <w:t xml:space="preserve">-Enduit de joint le cas échéant.</w:t>
      </w:r>
    </w:p>
    <w:p>
      <w:pPr/>
      <w:r>
        <w:rPr>
          <w:b/>
          <w:bCs/>
        </w:rPr>
        <w:t xml:space="preserve">Illustration</w:t>
      </w:r>
    </w:p>
    <w:p>
      <w:pPr/>
      <w:r>
        <w:rPr/>
        <w:t xml:space="preserve">Schémas de principe détaillant les organes de fixation et leurs conditions d'implantation.</w:t>
      </w:r>
    </w:p>
    <w:p>
      <w:pPr/>
      <w:r>
        <w:rPr>
          <w:rStyle w:val="font_h1"/>
        </w:rPr>
        <w:t xml:space="preserve">4. Conception et Dimensionnement</w:t>
      </w:r>
    </w:p>
    <w:p>
      <w:pPr>
        <w:ind w:left="720" w:right="0"/>
      </w:pPr>
      <w:r>
        <w:rPr>
          <w:rStyle w:val="font_h2"/>
        </w:rPr>
        <w:t xml:space="preserve">4.1. Dimensionnement sous charge statique ou quasi-statique</w:t>
      </w:r>
    </w:p>
    <w:p>
      <w:pPr/>
      <w:r>
        <w:rPr/>
        <w:t xml:space="preserve">Validé par le Groupe Spécialisé le 10/10/2024</w:t>
      </w:r>
    </w:p>
    <w:p>
      <w:pPr/>
      <w:r>
        <w:rPr>
          <w:b/>
          <w:bCs/>
        </w:rPr>
        <w:t xml:space="preserve">Description</w:t>
      </w:r>
    </w:p>
    <w:p>
      <w:pPr/>
      <w:r>
        <w:rPr/>
        <w:t xml:space="preserve">Détail des conditions de conception et de dimensionnement des panneaux vis-à-vis des efforts de contreventement en situation normale: </w:t>
      </w:r>
    </w:p>
    <w:p>
      <w:pPr/>
      <w:r>
        <w:rPr/>
        <w:t xml:space="preserve">-détail des principes et des hypothèses à respecter (modalité de prise en compte des panneaux dans le contreventement, rapport entre hauteur et largeur des panneaux, distances minimales entre les fixations et le bord des panneaux, règles de pince côté panneaux et côté support). </w:t>
      </w:r>
    </w:p>
    <w:p>
      <w:pPr/>
      <w:r>
        <w:rPr/>
        <w:t xml:space="preserve">-détermination de la portance locale à l'ELU des fixations pour chaque type de fixation et pour chaque épaisseur de panneau</w:t>
      </w:r>
    </w:p>
    <w:p>
      <w:pPr/>
      <w:r>
        <w:rPr/>
        <w:t xml:space="preserve">-capacité résistante à l'ELU des organes d'assemblage (résistance au cisaillement pour chaque type de fixation et pour chaque épaisseur de panneau) </w:t>
      </w:r>
    </w:p>
    <w:p>
      <w:pPr/>
      <w:r>
        <w:rPr/>
        <w:t xml:space="preserve">-capacité résistante à l'ELU de l'élément de panneaux vis à vis des charges horizontales pour chaque configuration de fixation et en fonction de la largeur des panneaux. </w:t>
      </w:r>
    </w:p>
    <w:p>
      <w:pPr/>
      <w:r>
        <w:rPr/>
        <w:t xml:space="preserve">-déformation admissible en tête de mur à l'ELS</w:t>
      </w:r>
    </w:p>
    <w:p>
      <w:pPr/>
      <w:r>
        <w:rPr>
          <w:b/>
          <w:bCs/>
        </w:rPr>
        <w:t xml:space="preserve">Justification</w:t>
      </w:r>
    </w:p>
    <w:p>
      <w:pPr/>
      <w:r>
        <w:rPr/>
        <w:t xml:space="preserve">Qualification expérimentale de: </w:t>
      </w:r>
    </w:p>
    <w:p>
      <w:pPr>
        <w:pPr/>
        <w:numPr>
          <w:ilvl w:val="0"/>
          <w:numId w:val="10"/>
        </w:numPr>
      </w:pPr>
      <w:r>
        <w:rPr/>
        <w:t xml:space="preserve">la portance locale en fonction des panneaux et des organes de fixations.</w:t>
      </w:r>
    </w:p>
    <w:p>
      <w:pPr>
        <w:pPr/>
        <w:numPr>
          <w:ilvl w:val="0"/>
          <w:numId w:val="10"/>
        </w:numPr>
      </w:pPr>
      <w:r>
        <w:rPr/>
        <w:t xml:space="preserve">la résistance aux efforts horizontaux d'un panneau de mur </w:t>
      </w:r>
    </w:p>
    <w:p>
      <w:pPr/>
      <w:r>
        <w:rPr/>
        <w:t xml:space="preserve">Concernant la portance locale, les essais doivent être réalisés sur des éprouvettes conservées dans des conditions représentatives aux classes de service revendiquées. :</w:t>
      </w:r>
    </w:p>
    <w:p>
      <w:pPr>
        <w:pPr/>
        <w:numPr>
          <w:ilvl w:val="0"/>
          <w:numId w:val="11"/>
        </w:numPr>
      </w:pPr>
      <w:r>
        <w:rPr/>
        <w:t xml:space="preserve">Classe de service 1 : Essais de portance locale sur des éprouvettes conditionnées à 20 °C et 60 % HR ;</w:t>
      </w:r>
    </w:p>
    <w:p>
      <w:pPr>
        <w:pPr/>
        <w:numPr>
          <w:ilvl w:val="0"/>
          <w:numId w:val="11"/>
        </w:numPr>
      </w:pPr>
      <w:r>
        <w:rPr/>
        <w:t xml:space="preserve">Classe de service 2 : Au minimum, essais de portance locale sur des éprouvettes conditionnées à 20 °C et 85 % HR.Cette jurisprudence ne concerne pas les panneaux à base de bois relevant de la norme EN 13986 et des normes techniques associées en vigueur à la date du 29 novembre 2023.</w:t>
      </w:r>
    </w:p>
    <w:p>
      <w:pPr/>
      <w:r>
        <w:rPr/>
        <w:t xml:space="preserve">De la même manière, lorsque les panneaux de contreventement ne sont pas à base de bois, il est également nécessaire de justifier expérimentalement l’évolution de la résistance et la raideur d’unmur COB sous l’action du vent ELS : Cette justification devra être réalisé conformément au protocole « Protocole d’essai quasi-statique d’évaluation de l’évolution dans le temps de la résistance et de laraideur d’un mur COB sous l’action du vent ELS » validé par le Groupe GS3.2</w:t>
      </w:r>
    </w:p>
    <w:p>
      <w:pPr/>
      <w:r>
        <w:rPr/>
        <w:t xml:space="preserve">Exemple de note de calcul pour un ouvrage représentatif du domaine d'emploi visé.</w:t>
      </w:r>
    </w:p>
    <w:p>
      <w:pPr>
        <w:ind w:left="720" w:right="0"/>
      </w:pPr>
      <w:r>
        <w:rPr>
          <w:rStyle w:val="font_h2"/>
        </w:rPr>
        <w:t xml:space="preserve">4.2. Dimensionnement au séisme</w:t>
      </w:r>
    </w:p>
    <w:p>
      <w:pPr/>
      <w:r>
        <w:rPr/>
        <w:t xml:space="preserve">Validé par le Groupe Spécialisé le 09/02/2021</w:t>
      </w:r>
    </w:p>
    <w:p>
      <w:pPr/>
      <w:r>
        <w:rPr>
          <w:b/>
          <w:bCs/>
        </w:rPr>
        <w:t xml:space="preserve">Description</w:t>
      </w:r>
    </w:p>
    <w:p>
      <w:pPr/>
      <w:r>
        <w:rPr/>
        <w:t xml:space="preserve">Détail des conditions de conception et de dimensionnement des panneaux vis-à-vis des efforts de contreventement en situation sismique: </w:t>
      </w:r>
    </w:p>
    <w:p>
      <w:pPr/>
      <w:r>
        <w:rPr/>
        <w:t xml:space="preserve">-détail des hypothèses à respecter (modalité de prise en compte des panneaux dans le contreventement, rapport entre hauteur et largeur des panneaux, distances minimales entre les fixations et le bord des panneaux, règles de pince côté panneau et côté support). </w:t>
      </w:r>
    </w:p>
    <w:p>
      <w:pPr/>
      <w:r>
        <w:rPr/>
        <w:t xml:space="preserve">-détail des configurations ayant fait l'objet d'essais cycliques selon la norme EN 12512 (épaisseur et nombre de panneaux, type de fixation, entraxe des fixations en couture périphérique et en montant central).  </w:t>
      </w:r>
    </w:p>
    <w:p>
      <w:pPr/>
      <w:r>
        <w:rPr/>
        <w:t xml:space="preserve">-détail de la méthode de calcul des effets des actions (méthode, classe de ductilité et coefficient de comportement, ...) </w:t>
      </w:r>
    </w:p>
    <w:p>
      <w:pPr/>
      <w:r>
        <w:rPr/>
        <w:t xml:space="preserve">-hypothèses en termes de critères de régularité en plan et en élévation du bâtiment </w:t>
      </w:r>
    </w:p>
    <w:p>
      <w:pPr/>
      <w:r>
        <w:rPr/>
        <w:t xml:space="preserve">-modalité de prise en compte des effets du 2nd ordre </w:t>
      </w:r>
    </w:p>
    <w:p>
      <w:pPr/>
      <w:r>
        <w:rPr/>
        <w:t xml:space="preserve">-conditions de vérification de la limitation des déplacements (déplacement inter-étage, ...). </w:t>
      </w:r>
    </w:p>
    <w:p>
      <w:pPr/>
      <w:r>
        <w:rPr/>
        <w:t xml:space="preserve">-conditions de conception des assemblages entre panneaux et ossatures et des ancrages de la structure ossature bois</w:t>
      </w:r>
    </w:p>
    <w:p>
      <w:pPr/>
      <w:r>
        <w:rPr>
          <w:b/>
          <w:bCs/>
        </w:rPr>
        <w:t xml:space="preserve">Justification</w:t>
      </w:r>
    </w:p>
    <w:p>
      <w:pPr/>
      <w:r>
        <w:rPr/>
        <w:t xml:space="preserve">Essais cycliques selon la norme EN 12512 pour les configurations visées (panneaux et organes de fixation)</w:t>
      </w:r>
    </w:p>
    <w:p>
      <w:pPr/>
      <w:r>
        <w:rPr/>
        <w:t xml:space="preserve">Exemple de note de calcul pour un ouvrage représentatif du domaine d'emploi visé.</w:t>
      </w:r>
    </w:p>
    <w:p>
      <w:pPr/>
      <w:r>
        <w:rPr>
          <w:rStyle w:val="font_h1"/>
        </w:rPr>
        <w:t xml:space="preserve">5. Résistance aux chocs</w:t>
      </w:r>
    </w:p>
    <w:p>
      <w:pPr/>
      <w:r>
        <w:rPr/>
        <w:t xml:space="preserve">Validé par le Groupe Spécialisé le 13/02/2024</w:t>
      </w:r>
    </w:p>
    <w:p>
      <w:pPr/>
      <w:r>
        <w:rPr>
          <w:b/>
          <w:bCs/>
        </w:rPr>
        <w:t xml:space="preserve">Description</w:t>
      </w:r>
    </w:p>
    <w:p>
      <w:pPr/>
      <w:r>
        <w:rPr/>
        <w:t xml:space="preserve">Préciser les dispositions particulières à adopter (nombre de panneaux, entraxe entre montants, renforts spécifiques, ...) pour satisfaire aux exigences de la norme P 08-302 (Murs extérieurs des bâtiments - Résistance aux chocs) : </w:t>
      </w:r>
    </w:p>
    <w:p>
      <w:pPr>
        <w:pPr/>
        <w:numPr>
          <w:ilvl w:val="0"/>
          <w:numId w:val="12"/>
        </w:numPr>
      </w:pPr>
      <w:r>
        <w:rPr/>
        <w:t xml:space="preserve">résistance aux chocs de conservation de performances </w:t>
      </w:r>
    </w:p>
    <w:p>
      <w:pPr>
        <w:pPr/>
        <w:numPr>
          <w:ilvl w:val="0"/>
          <w:numId w:val="12"/>
        </w:numPr>
      </w:pPr>
      <w:r>
        <w:rPr/>
        <w:t xml:space="preserve">résistance aux chocs de sécurité</w:t>
      </w:r>
    </w:p>
    <w:p>
      <w:pPr/>
      <w:r>
        <w:rPr>
          <w:b/>
          <w:bCs/>
        </w:rPr>
        <w:t xml:space="preserve">Justification</w:t>
      </w:r>
    </w:p>
    <w:p>
      <w:pPr/>
      <w:r>
        <w:rPr/>
        <w:t xml:space="preserve">Essais selon la norme P 08-302 (Murs extérieurs des bâtiments - Résistance aux chocs) en fonction de l'utilisation des panneaux (utilisation côté intérieur et/ou côté extérieur), en vérifiant, en complément des exigences de cette norme, le non endommagement du mur (panneau de contreventement + ossature).</w:t>
      </w:r>
    </w:p>
    <w:p>
      <w:pPr/>
      <w:r>
        <w:rPr>
          <w:rStyle w:val="font_h1"/>
        </w:rPr>
        <w:t xml:space="preserve">6. Sécurité incendie</w:t>
      </w:r>
    </w:p>
    <w:p>
      <w:pPr>
        <w:ind w:left="720" w:right="0"/>
      </w:pPr>
      <w:r>
        <w:rPr>
          <w:rStyle w:val="font_h2"/>
        </w:rPr>
        <w:t xml:space="preserve">6.1. Réaction au feu</w:t>
      </w:r>
    </w:p>
    <w:p>
      <w:pPr/>
      <w:r>
        <w:rPr/>
        <w:t xml:space="preserve">Validé par le Groupe Spécialisé le 10/10/2024</w:t>
      </w:r>
    </w:p>
    <w:p>
      <w:pPr/>
      <w:r>
        <w:rPr>
          <w:b/>
          <w:bCs/>
        </w:rPr>
        <w:t xml:space="preserve">Description</w:t>
      </w:r>
    </w:p>
    <w:p>
      <w:pPr/>
      <w:r>
        <w:rPr/>
        <w:t xml:space="preserve">Déterminer la classe de réaction au feu des panneaux</w:t>
      </w:r>
    </w:p>
    <w:p>
      <w:pPr/>
      <w:r>
        <w:rPr>
          <w:b/>
          <w:bCs/>
        </w:rPr>
        <w:t xml:space="preserve">Justification</w:t>
      </w:r>
    </w:p>
    <w:p>
      <w:pPr/>
      <w:r>
        <w:rPr/>
        <w:t xml:space="preserve">Réaction au feu des panneaux :  PV de classement selon la norme NF EN 13501-1 par un laboratoire agréé.</w:t>
      </w:r>
    </w:p>
    <w:p>
      <w:pPr>
        <w:ind w:left="720" w:right="0"/>
      </w:pPr>
      <w:r>
        <w:rPr>
          <w:rStyle w:val="font_h2"/>
        </w:rPr>
        <w:t xml:space="preserve">6.2. Résistance au feu</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 Il sera nécessaire de préciser le domaine d'emploi du procédé vis-à-vis des exigences applicables en situation d'incendie.</w:t>
      </w:r>
    </w:p>
    <w:p>
      <w:pPr/>
      <w:r>
        <w:rPr>
          <w:b/>
          <w:bCs/>
        </w:rPr>
        <w:t xml:space="preserve">Justification</w:t>
      </w:r>
    </w:p>
    <w:p>
      <w:pPr/>
      <w:r>
        <w:rPr/>
        <w:t xml:space="preserve">PV de classement de résistance au feu et/ou appréciation de laboratoire au feu par un laboratoire agréé (CERIB, EFFECTIS ou CSTB).</w:t>
      </w:r>
    </w:p>
    <w:p>
      <w:pPr>
        <w:ind w:left="720" w:right="0"/>
      </w:pPr>
      <w:r>
        <w:rPr>
          <w:rStyle w:val="font_h2"/>
        </w:rPr>
        <w:t xml:space="preserve">6.3. Propagation du feu</w:t>
      </w:r>
    </w:p>
    <w:p>
      <w:pPr/>
      <w:r>
        <w:rPr/>
        <w:t xml:space="preserve">Validé par le Groupe Spécialisé le 10/10/2023</w:t>
      </w:r>
    </w:p>
    <w:p>
      <w:pPr/>
      <w:r>
        <w:rPr>
          <w:b/>
          <w:bCs/>
        </w:rPr>
        <w:t xml:space="preserve">Description</w:t>
      </w:r>
    </w:p>
    <w:p>
      <w:pPr/>
      <w:r>
        <w:rPr/>
        <w:t xml:space="preserve">Détailler le rôle des panneaux vis à vis des exigences de sécurité incendie (écran de protection de l'ossature bois, dispositions constructives vis à vis de l'indice C+D, ...). Le "Guide bois construction et propagation du feu par les façades" peut s'appliquer. L’applicabilité de ce Guide devra être validé par un laboratoire agréé (CERIB, EFFECTIS ou CSTB). En absence de cette validation, l’utilisation du procédé dans des bâtiments nécessitant des dispositions vis-à-vis de la propagation du feu par les façades sera exclue.</w:t>
      </w:r>
    </w:p>
    <w:p>
      <w:pPr/>
      <w:r>
        <w:rPr>
          <w:b/>
          <w:bCs/>
        </w:rPr>
        <w:t xml:space="preserve">Justification</w:t>
      </w:r>
    </w:p>
    <w:p>
      <w:pPr/>
      <w:r>
        <w:rPr/>
        <w:t xml:space="preserve">Appréciation de laboratoire le cas échéant.</w:t>
      </w:r>
    </w:p>
    <w:p>
      <w:pPr/>
      <w:r>
        <w:rPr>
          <w:rStyle w:val="font_h1"/>
        </w:rPr>
        <w:t xml:space="preserve">7. Isolation thermique</w:t>
      </w:r>
    </w:p>
    <w:p>
      <w:pPr/>
      <w:r>
        <w:rPr/>
        <w:t xml:space="preserve">Validé par le Groupe Spécialisé le 14/02/2019</w:t>
      </w:r>
    </w:p>
    <w:p>
      <w:pPr/>
      <w:r>
        <w:rPr>
          <w:b/>
          <w:bCs/>
        </w:rPr>
        <w:t xml:space="preserve">Description</w:t>
      </w:r>
    </w:p>
    <w:p>
      <w:pPr/>
      <w:r>
        <w:rPr/>
        <w:t xml:space="preserve">-Indiquer le coefficient de conductivité thermique des plaques. </w:t>
      </w:r>
    </w:p>
    <w:p>
      <w:pPr/>
      <w:r>
        <w:rPr/>
        <w:t xml:space="preserve">-Détailler les conditions de détermination des performances thermiques des parois constituées par le procédé.</w:t>
      </w:r>
    </w:p>
    <w:p>
      <w:pPr/>
      <w:r>
        <w:rPr>
          <w:b/>
          <w:bCs/>
        </w:rPr>
        <w:t xml:space="preserve">Justification</w:t>
      </w:r>
    </w:p>
    <w:p>
      <w:pPr/>
      <w:r>
        <w:rPr/>
        <w:t xml:space="preserve">-Qualification de la conductivité du matériau constitutif des plaques (conductivité thermique). </w:t>
      </w:r>
    </w:p>
    <w:p>
      <w:pPr/>
      <w:r>
        <w:rPr/>
        <w:t xml:space="preserve">-Etudes de transferts thermiques dans les configurations de parois visées le cas échéant et la maitrise de la constance de la perméabilité à la vapeur d’eau des plaques.</w:t>
      </w:r>
    </w:p>
    <w:p>
      <w:pPr/>
      <w:r>
        <w:rPr>
          <w:rStyle w:val="font_h1"/>
        </w:rPr>
        <w:t xml:space="preserve">8. Isolation acoustique</w:t>
      </w:r>
    </w:p>
    <w:p>
      <w:pPr/>
      <w:r>
        <w:rPr/>
        <w:t xml:space="preserve">Validé par le Groupe Spécialisé le 14/02/2019</w:t>
      </w:r>
    </w:p>
    <w:p>
      <w:pPr/>
      <w:r>
        <w:rPr>
          <w:b/>
          <w:bCs/>
        </w:rPr>
        <w:t xml:space="preserve">Description</w:t>
      </w:r>
    </w:p>
    <w:p>
      <w:pPr/>
      <w:r>
        <w:rPr/>
        <w:t xml:space="preserve">Détail des dispositions constructives adoptées pour l'atteinte des critères d'isolation acoustiques fixés par la règlementation.</w:t>
      </w:r>
    </w:p>
    <w:p>
      <w:pPr/>
      <w:r>
        <w:rPr>
          <w:b/>
          <w:bCs/>
        </w:rPr>
        <w:t xml:space="preserve">Justification</w:t>
      </w:r>
    </w:p>
    <w:p>
      <w:pPr/>
      <w:r>
        <w:rPr/>
        <w:t xml:space="preserve">Rapports d'essai d'indice d'affaiblissement acoustique des configurations de parois visées.</w:t>
      </w:r>
    </w:p>
    <w:p>
      <w:pPr/>
      <w:r>
        <w:rPr>
          <w:rStyle w:val="font_h1"/>
        </w:rPr>
        <w:t xml:space="preserve">9. Fabrication</w:t>
      </w:r>
    </w:p>
    <w:p>
      <w:pPr>
        <w:ind w:left="720" w:right="0"/>
      </w:pPr>
      <w:r>
        <w:rPr>
          <w:rStyle w:val="font_h2"/>
        </w:rPr>
        <w:t xml:space="preserve">9.1. Processus de fabrication</w:t>
      </w:r>
    </w:p>
    <w:p>
      <w:pPr/>
      <w:r>
        <w:rPr/>
        <w:t xml:space="preserve">Validé par le Groupe Spécialisé le 14/02/2019</w:t>
      </w:r>
    </w:p>
    <w:p>
      <w:pPr/>
      <w:r>
        <w:rPr>
          <w:b/>
          <w:bCs/>
        </w:rPr>
        <w:t xml:space="preserve">Description</w:t>
      </w:r>
    </w:p>
    <w:p>
      <w:pPr/>
      <w:r>
        <w:rPr/>
        <w:t xml:space="preserve">-Identification des sites de fabrication.</w:t>
      </w:r>
    </w:p>
    <w:p>
      <w:pPr/>
      <w:r>
        <w:rPr/>
        <w:t xml:space="preserve">-Description du processus de fabrication des plaques.</w:t>
      </w:r>
    </w:p>
    <w:p>
      <w:pPr/>
      <w:r>
        <w:rPr/>
        <w:t xml:space="preserve">-Spécifications pour l’identification des plaques (marquage des plaques).</w:t>
      </w:r>
    </w:p>
    <w:p>
      <w:pPr/>
      <w:r>
        <w:rPr/>
        <w:t xml:space="preserve">-Description du colisage.</w:t>
      </w:r>
    </w:p>
    <w:p>
      <w:pPr>
        <w:ind w:left="720" w:right="0"/>
      </w:pPr>
      <w:r>
        <w:rPr>
          <w:rStyle w:val="font_h2"/>
        </w:rPr>
        <w:t xml:space="preserve">9.2. Contrôles de fabrication</w:t>
      </w:r>
    </w:p>
    <w:p>
      <w:pPr/>
      <w:r>
        <w:rPr/>
        <w:t xml:space="preserve">Validé par le Groupe Spécialisé le 14/02/2019</w:t>
      </w:r>
    </w:p>
    <w:p>
      <w:pPr/>
      <w:r>
        <w:rPr>
          <w:b/>
          <w:bCs/>
        </w:rPr>
        <w:t xml:space="preserve">Description</w:t>
      </w:r>
    </w:p>
    <w:p>
      <w:pPr/>
      <w:r>
        <w:rPr/>
        <w:t xml:space="preserve">-Nature et fréquence des contrôles de production (interne et externe le cas échéant) : </w:t>
      </w:r>
    </w:p>
    <w:p>
      <w:pPr>
        <w:pPr/>
        <w:numPr>
          <w:ilvl w:val="0"/>
          <w:numId w:val="13"/>
        </w:numPr>
      </w:pPr>
      <w:r>
        <w:rPr/>
        <w:t xml:space="preserve">Contrôles des matières premières</w:t>
      </w:r>
    </w:p>
    <w:p>
      <w:pPr>
        <w:pPr/>
        <w:numPr>
          <w:ilvl w:val="0"/>
          <w:numId w:val="13"/>
        </w:numPr>
      </w:pPr>
      <w:r>
        <w:rPr/>
        <w:t xml:space="preserve">Contrôles en cours de fabrication</w:t>
      </w:r>
    </w:p>
    <w:p>
      <w:pPr>
        <w:pPr/>
        <w:numPr>
          <w:ilvl w:val="0"/>
          <w:numId w:val="13"/>
        </w:numPr>
      </w:pPr>
      <w:r>
        <w:rPr/>
        <w:t xml:space="preserve">Contrôles sur produits finis</w:t>
      </w:r>
    </w:p>
    <w:p>
      <w:pPr>
        <w:pPr/>
        <w:numPr>
          <w:ilvl w:val="0"/>
          <w:numId w:val="13"/>
        </w:numPr>
      </w:pPr>
      <w:r>
        <w:rPr/>
        <w:t xml:space="preserve">Tolérances dimensionnelles de fabrication (épaisseur, hauteur, largeur, équerrage)</w:t>
      </w:r>
    </w:p>
    <w:p>
      <w:pPr>
        <w:pPr/>
        <w:numPr>
          <w:ilvl w:val="0"/>
          <w:numId w:val="13"/>
        </w:numPr>
      </w:pPr>
      <w:r>
        <w:rPr/>
        <w:t xml:space="preserve">Essais de suivi des caractéristiques physiques et mécanique (nature et description des essais, fréquence,…)</w:t>
      </w:r>
    </w:p>
    <w:p>
      <w:pPr/>
      <w:r>
        <w:rPr>
          <w:b/>
          <w:bCs/>
        </w:rPr>
        <w:t xml:space="preserve">Justification</w:t>
      </w:r>
    </w:p>
    <w:p>
      <w:pPr/>
      <w:r>
        <w:rPr/>
        <w:t xml:space="preserve">-CPU du site de production </w:t>
      </w:r>
    </w:p>
    <w:p>
      <w:pPr/>
      <w:r>
        <w:rPr/>
        <w:t xml:space="preserve">-Registres de contrôle</w:t>
      </w:r>
    </w:p>
    <w:p>
      <w:pPr/>
      <w:r>
        <w:rPr>
          <w:rStyle w:val="font_h1"/>
        </w:rPr>
        <w:t xml:space="preserve">10. Mise en oeuvre</w:t>
      </w:r>
    </w:p>
    <w:p>
      <w:pPr>
        <w:ind w:left="720" w:right="0"/>
      </w:pPr>
      <w:r>
        <w:rPr>
          <w:rStyle w:val="font_h2"/>
        </w:rPr>
        <w:t xml:space="preserve">10.1. Manutention, transport, stockage</w:t>
      </w:r>
    </w:p>
    <w:p>
      <w:pPr/>
      <w:r>
        <w:rPr/>
        <w:t xml:space="preserve">Validé par le Groupe Spécialisé le 14/02/2019</w:t>
      </w:r>
    </w:p>
    <w:p>
      <w:pPr/>
      <w:r>
        <w:rPr>
          <w:b/>
          <w:bCs/>
        </w:rPr>
        <w:t xml:space="preserve">Description</w:t>
      </w:r>
    </w:p>
    <w:p>
      <w:pPr/>
      <w:r>
        <w:rPr/>
        <w:t xml:space="preserve">Détail des moyens de manutention et de transport nécessaire.</w:t>
      </w:r>
    </w:p>
    <w:p>
      <w:pPr/>
      <w:r>
        <w:rPr/>
        <w:t xml:space="preserve">Indiquer les prescriptions pour le stockage.</w:t>
      </w:r>
    </w:p>
    <w:p>
      <w:pPr>
        <w:ind w:left="720" w:right="0"/>
      </w:pPr>
      <w:r>
        <w:rPr>
          <w:rStyle w:val="font_h2"/>
        </w:rPr>
        <w:t xml:space="preserve">10.2. Principes de mise en oeuvre</w:t>
      </w:r>
    </w:p>
    <w:p>
      <w:pPr/>
      <w:r>
        <w:rPr/>
        <w:t xml:space="preserve">Validé par le Groupe Spécialisé le 14/02/2019</w:t>
      </w:r>
    </w:p>
    <w:p>
      <w:pPr/>
      <w:r>
        <w:rPr>
          <w:b/>
          <w:bCs/>
        </w:rPr>
        <w:t xml:space="preserve">Description</w:t>
      </w:r>
    </w:p>
    <w:p>
      <w:pPr/>
      <w:r>
        <w:rPr/>
        <w:t xml:space="preserve">Décrire les modes opératoires pour la mise en œuvre des plaques côtés intérieur et/ou extérieur, le traitement des joints et toutes autres configurations justifiées pour répondre à des problématiques de  : </w:t>
      </w:r>
    </w:p>
    <w:p>
      <w:pPr>
        <w:pPr/>
        <w:numPr>
          <w:ilvl w:val="0"/>
          <w:numId w:val="14"/>
        </w:numPr>
      </w:pPr>
      <w:r>
        <w:rPr/>
        <w:t xml:space="preserve">résistance aux chocs,</w:t>
      </w:r>
    </w:p>
    <w:p>
      <w:pPr>
        <w:pPr/>
        <w:numPr>
          <w:ilvl w:val="0"/>
          <w:numId w:val="14"/>
        </w:numPr>
      </w:pPr>
      <w:r>
        <w:rPr/>
        <w:t xml:space="preserve">utilisation en locaux humides, </w:t>
      </w:r>
    </w:p>
    <w:p>
      <w:pPr>
        <w:pPr/>
        <w:numPr>
          <w:ilvl w:val="0"/>
          <w:numId w:val="14"/>
        </w:numPr>
      </w:pPr>
      <w:r>
        <w:rPr/>
        <w:t xml:space="preserve">sécurité incendie</w:t>
      </w:r>
    </w:p>
    <w:p>
      <w:pPr>
        <w:pPr/>
        <w:numPr>
          <w:ilvl w:val="0"/>
          <w:numId w:val="14"/>
        </w:numPr>
      </w:pPr>
      <w:r>
        <w:rPr/>
        <w:t xml:space="preserve">isolation thermique </w:t>
      </w:r>
    </w:p>
    <w:p>
      <w:pPr>
        <w:pPr/>
        <w:numPr>
          <w:ilvl w:val="0"/>
          <w:numId w:val="14"/>
        </w:numPr>
      </w:pPr>
      <w:r>
        <w:rPr/>
        <w:t xml:space="preserve">isolation acoustique</w:t>
      </w:r>
    </w:p>
    <w:p>
      <w:pPr>
        <w:pPr/>
        <w:numPr>
          <w:ilvl w:val="0"/>
          <w:numId w:val="14"/>
        </w:numPr>
      </w:pPr>
      <w:r>
        <w:rPr/>
        <w:t xml:space="preserve">fixation des charges</w:t>
      </w:r>
    </w:p>
    <w:p>
      <w:pPr/>
      <w:r>
        <w:rPr>
          <w:b/>
          <w:bCs/>
        </w:rPr>
        <w:t xml:space="preserve">Illustration</w:t>
      </w:r>
    </w:p>
    <w:p>
      <w:pPr/>
      <w:r>
        <w:rPr/>
        <w:t xml:space="preserve">Schémas : </w:t>
      </w:r>
    </w:p>
    <w:p>
      <w:pPr>
        <w:pPr/>
        <w:numPr>
          <w:ilvl w:val="0"/>
          <w:numId w:val="15"/>
        </w:numPr>
      </w:pPr>
      <w:r>
        <w:rPr/>
        <w:t xml:space="preserve">Détail de montage du procédé avec les organes de fixation visés</w:t>
      </w:r>
    </w:p>
    <w:p>
      <w:pPr>
        <w:pPr/>
        <w:numPr>
          <w:ilvl w:val="0"/>
          <w:numId w:val="15"/>
        </w:numPr>
      </w:pPr>
      <w:r>
        <w:rPr/>
        <w:t xml:space="preserve">Coupes horizontales avec finitions prévues et traitement des angles</w:t>
      </w:r>
    </w:p>
    <w:p>
      <w:pPr>
        <w:pPr/>
        <w:numPr>
          <w:ilvl w:val="0"/>
          <w:numId w:val="15"/>
        </w:numPr>
      </w:pPr>
      <w:r>
        <w:rPr/>
        <w:t xml:space="preserve">Coupes verticales (garde au sol, coupe sur plancher, jonction mur/toiture)</w:t>
      </w:r>
    </w:p>
    <w:p>
      <w:pPr>
        <w:pPr/>
        <w:numPr>
          <w:ilvl w:val="0"/>
          <w:numId w:val="15"/>
        </w:numPr>
      </w:pPr>
      <w:r>
        <w:rPr/>
        <w:t xml:space="preserve">Détails d’intégration des menuiseries</w:t>
      </w:r>
    </w:p>
    <w:p>
      <w:pPr>
        <w:ind w:left="720" w:right="0"/>
      </w:pPr>
      <w:r>
        <w:rPr>
          <w:rStyle w:val="font_h2"/>
        </w:rPr>
        <w:t xml:space="preserve">10.3. Finitions</w:t>
      </w:r>
    </w:p>
    <w:p>
      <w:pPr/>
      <w:r>
        <w:rPr/>
        <w:t xml:space="preserve">Validé par le Groupe Spécialisé le 14/02/2019</w:t>
      </w:r>
    </w:p>
    <w:p>
      <w:pPr/>
      <w:r>
        <w:rPr>
          <w:b/>
          <w:bCs/>
        </w:rPr>
        <w:t xml:space="preserve">Description</w:t>
      </w:r>
    </w:p>
    <w:p>
      <w:pPr/>
      <w:r>
        <w:rPr/>
        <w:t xml:space="preserve">Décrire les finitions des plaques côté intérieur</w:t>
      </w:r>
    </w:p>
    <w:p>
      <w:pPr/>
      <w:r>
        <w:rPr/>
        <w:t xml:space="preserve">Décrire les finitions des plaques côté extérieur :</w:t>
      </w:r>
    </w:p>
    <w:p>
      <w:pPr>
        <w:pPr/>
        <w:numPr>
          <w:ilvl w:val="0"/>
          <w:numId w:val="16"/>
        </w:numPr>
      </w:pPr>
      <w:r>
        <w:rPr/>
        <w:t xml:space="preserve">Bardages rapportés</w:t>
      </w:r>
    </w:p>
    <w:p>
      <w:pPr>
        <w:pPr/>
        <w:numPr>
          <w:ilvl w:val="0"/>
          <w:numId w:val="16"/>
        </w:numPr>
      </w:pPr>
      <w:r>
        <w:rPr/>
        <w:t xml:space="preserve">ETICS</w:t>
      </w:r>
    </w:p>
    <w:p>
      <w:pPr/>
      <w:r>
        <w:rPr>
          <w:b/>
          <w:bCs/>
        </w:rPr>
        <w:t xml:space="preserve">Justification</w:t>
      </w:r>
    </w:p>
    <w:p>
      <w:pPr/>
      <w:r>
        <w:rPr/>
        <w:t xml:space="preserve">-Justifier de la compatibilité des systèmes d’ETICS avec le support selon le Cahier du CSTB 3729_V2 de décembre 2014 « Systèmes d’isolation thermique extérieure par enduit sur isolant appliqués sur parois de constructions à ossature en bois – Dispositions communes aux Groupes Spécialisés n°2 et n°7 »</w:t>
      </w:r>
    </w:p>
    <w:p>
      <w:pPr/>
      <w:r>
        <w:rPr/>
        <w:t xml:space="preserve">-Liste de références chantier pour chaque type de finition visée.</w:t>
      </w:r>
    </w:p>
    <w:p>
      <w:pPr/>
      <w:r>
        <w:rPr>
          <w:rStyle w:val="font_h1"/>
        </w:rPr>
        <w:t xml:space="preserve">11. Conditions d'exploitation du procédé</w:t>
      </w:r>
    </w:p>
    <w:p>
      <w:pPr>
        <w:ind w:left="720" w:right="0"/>
      </w:pPr>
      <w:r>
        <w:rPr>
          <w:rStyle w:val="font_h2"/>
        </w:rPr>
        <w:t xml:space="preserve">11.1. Assistance technique</w:t>
      </w:r>
    </w:p>
    <w:p>
      <w:pPr/>
      <w:r>
        <w:rPr/>
        <w:t xml:space="preserve">Validé par le Groupe Spécialisé le 14/02/2019</w:t>
      </w:r>
    </w:p>
    <w:p>
      <w:pPr/>
      <w:r>
        <w:rPr>
          <w:b/>
          <w:bCs/>
        </w:rPr>
        <w:t xml:space="preserve">Description</w:t>
      </w:r>
    </w:p>
    <w:p>
      <w:pPr/>
      <w:r>
        <w:rPr/>
        <w:t xml:space="preserve">Décrire l’assistance technique que peux procurer le titulaire (mise en œuvre, conception, ...).</w:t>
      </w:r>
    </w:p>
    <w:p>
      <w:pPr/>
      <w:r>
        <w:rPr>
          <w:b/>
          <w:bCs/>
        </w:rPr>
        <w:t xml:space="preserve">Justification</w:t>
      </w:r>
    </w:p>
    <w:p>
      <w:pPr/>
      <w:r>
        <w:rPr/>
        <w:t xml:space="preserve">Exemple de note de calcul sur un ouvrage représentatif du domaine d'emploi.</w:t>
      </w:r>
    </w:p>
    <w:p>
      <w:pPr>
        <w:ind w:left="720" w:right="0"/>
      </w:pPr>
      <w:r>
        <w:rPr>
          <w:rStyle w:val="font_h2"/>
        </w:rPr>
        <w:t xml:space="preserve">11.2. Rôle des intervenants</w:t>
      </w:r>
    </w:p>
    <w:p>
      <w:pPr/>
      <w:r>
        <w:rPr/>
        <w:t xml:space="preserve">Validé par le Groupe Spécialisé le 14/02/2019</w:t>
      </w:r>
    </w:p>
    <w:p>
      <w:pPr/>
      <w:r>
        <w:rPr>
          <w:b/>
          <w:bCs/>
        </w:rPr>
        <w:t xml:space="preserve">Description</w:t>
      </w:r>
    </w:p>
    <w:p>
      <w:pPr/>
      <w:r>
        <w:rPr/>
        <w:t xml:space="preserve">Définir les rôles des intervenants et les identifier :</w:t>
      </w:r>
    </w:p>
    <w:p>
      <w:pPr>
        <w:pPr/>
        <w:numPr>
          <w:ilvl w:val="0"/>
          <w:numId w:val="17"/>
        </w:numPr>
      </w:pPr>
      <w:r>
        <w:rPr/>
        <w:t xml:space="preserve">Distribution/commercialisation</w:t>
      </w:r>
    </w:p>
    <w:p>
      <w:pPr>
        <w:pPr/>
        <w:numPr>
          <w:ilvl w:val="0"/>
          <w:numId w:val="17"/>
        </w:numPr>
      </w:pPr>
      <w:r>
        <w:rPr/>
        <w:t xml:space="preserve">Réalisation des études</w:t>
      </w:r>
    </w:p>
    <w:p>
      <w:pPr>
        <w:pPr/>
        <w:numPr>
          <w:ilvl w:val="0"/>
          <w:numId w:val="17"/>
        </w:numPr>
      </w:pPr>
      <w:r>
        <w:rPr/>
        <w:t xml:space="preserve">Mise en œuvre </w:t>
      </w:r>
    </w:p>
    <w:p>
      <w:pPr>
        <w:pPr/>
        <w:numPr>
          <w:ilvl w:val="0"/>
          <w:numId w:val="17"/>
        </w:numPr>
      </w:pPr>
      <w:r>
        <w:rPr/>
        <w:t xml:space="preserve">Cas de la préfabrication en usine</w:t>
      </w:r>
    </w:p>
    <w:p>
      <w:pPr>
        <w:pPr/>
        <w:numPr>
          <w:ilvl w:val="0"/>
          <w:numId w:val="17"/>
        </w:numPr>
      </w:pPr>
      <w:r>
        <w:rPr/>
        <w:t xml:space="preserve">Assistance technique</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de plaques fait l’objet d’une 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3A6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5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B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AD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05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9C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FE3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D5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7A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2025-12-15T03:49:39+01:00</dcterms:created>
  <dcterms:modified xsi:type="dcterms:W3CDTF">2025-12-15T03:49:39+01:00</dcterms:modified>
</cp:coreProperties>
</file>

<file path=docProps/custom.xml><?xml version="1.0" encoding="utf-8"?>
<Properties xmlns="http://schemas.openxmlformats.org/officeDocument/2006/custom-properties" xmlns:vt="http://schemas.openxmlformats.org/officeDocument/2006/docPropsVTypes"/>
</file>