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Dallage de maisons individuelles, en béton renforcé de fibres</w:t>
      </w:r>
    </w:p>
    <w:p>
      <w:pPr/>
      <w:r>
        <w:rPr>
          <w:rStyle w:val="font_h1"/>
        </w:rPr>
        <w:t xml:space="preserve">1. Définition du procédé</w:t>
      </w:r>
    </w:p>
    <w:p>
      <w:pPr/>
      <w:r>
        <w:rPr/>
        <w:t xml:space="preserve">Validé par le Groupe Spécialisé le 20/11/2018</w:t>
      </w:r>
    </w:p>
    <w:p>
      <w:pPr/>
      <w:r>
        <w:rPr>
          <w:b/>
          <w:bCs/>
        </w:rPr>
        <w:t xml:space="preserve">Description</w:t>
      </w:r>
    </w:p>
    <w:p>
      <w:pPr/>
      <w:r>
        <w:rPr/>
        <w:t xml:space="preserve">Décrire le type de dallage visé ainsi qu le type et dosage en fibres.</w:t>
      </w:r>
    </w:p>
    <w:p>
      <w:pPr/>
      <w:r>
        <w:rPr>
          <w:rStyle w:val="font_h1"/>
        </w:rPr>
        <w:t xml:space="preserve">2. Domaine d'emploi</w:t>
      </w:r>
    </w:p>
    <w:p>
      <w:pPr/>
      <w:r>
        <w:rPr/>
        <w:t xml:space="preserve">Validé par le Groupe Spécialisé le 20/11/2018</w:t>
      </w:r>
    </w:p>
    <w:p>
      <w:pPr/>
      <w:r>
        <w:rPr>
          <w:b/>
          <w:bCs/>
        </w:rPr>
        <w:t xml:space="preserve">Description</w:t>
      </w:r>
    </w:p>
    <w:p>
      <w:pPr/>
      <w:r>
        <w:rPr/>
        <w:t xml:space="preserve">Les dallages visés sont les dallages de maisons individuelles, construits en France européenne, entrant dans le domaine d’application du DTU 13.3 partie 3. Ces dallages n’ont pas d’autre rôle que celui de répartir les charges sur le sol.</w:t>
      </w:r>
    </w:p>
    <w:p>
      <w:pPr/>
      <w:r>
        <w:rPr/>
        <w:t xml:space="preserve">L’épaisseur nominale du dallage est au minimum de 12 cm.</w:t>
      </w:r>
    </w:p>
    <w:p>
      <w:pPr/>
      <w:r>
        <w:rPr/>
        <w:t xml:space="preserve">Ne sont pas visés : </w:t>
      </w:r>
    </w:p>
    <w:p>
      <w:pPr>
        <w:pPr/>
        <w:numPr>
          <w:ilvl w:val="0"/>
          <w:numId w:val="9"/>
        </w:numPr>
      </w:pPr>
      <w:r>
        <w:rPr/>
        <w:t xml:space="preserve">les  dallages  faisant  office  de  tirant  ou  de  buton  au  sein  de  l’infrastructure ;</w:t>
      </w:r>
    </w:p>
    <w:p>
      <w:pPr>
        <w:pPr/>
        <w:numPr>
          <w:ilvl w:val="0"/>
          <w:numId w:val="9"/>
        </w:numPr>
      </w:pPr>
      <w:r>
        <w:rPr/>
        <w:t xml:space="preserve">les  dallages  supportant  des  éléments  de  structure  descendant  les  charges de superstructure (murs porteurs ou poteaux) ;</w:t>
      </w:r>
    </w:p>
    <w:p>
      <w:pPr>
        <w:pPr/>
        <w:numPr>
          <w:ilvl w:val="0"/>
          <w:numId w:val="9"/>
        </w:numPr>
      </w:pPr>
      <w:r>
        <w:rPr/>
        <w:t xml:space="preserve">les  dallages  comportant  des  inserts  ou  canalisations  éventuels  (câbles, canalisations pour fluides caloporteurs ou non, etc...), incorporés dans l’épaisseur du dallage ;</w:t>
      </w:r>
    </w:p>
    <w:p>
      <w:pPr>
        <w:pPr/>
        <w:numPr>
          <w:ilvl w:val="0"/>
          <w:numId w:val="9"/>
        </w:numPr>
      </w:pPr>
      <w:r>
        <w:rPr/>
        <w:t xml:space="preserve">les  dallages  destinés  à  accueillir  des  véhicules  roulants  autres  que  les véhicules légers ;</w:t>
      </w:r>
    </w:p>
    <w:p>
      <w:pPr>
        <w:pPr/>
        <w:numPr>
          <w:ilvl w:val="0"/>
          <w:numId w:val="9"/>
        </w:numPr>
      </w:pPr>
      <w:r>
        <w:rPr/>
        <w:t xml:space="preserve">les  dallages  destinés  à  recevoir  un  revêtement  adhérent  (carrelage  ou équivalent) ;</w:t>
      </w:r>
    </w:p>
    <w:p>
      <w:pPr>
        <w:pPr/>
        <w:numPr>
          <w:ilvl w:val="0"/>
          <w:numId w:val="9"/>
        </w:numPr>
      </w:pPr>
      <w:r>
        <w:rPr/>
        <w:t xml:space="preserve">Les dallages contenant des câbles et canalisations.</w:t>
      </w:r>
    </w:p>
    <w:p>
      <w:pPr/>
      <w:r>
        <w:rPr/>
        <w:t xml:space="preserve">Pour  ce  qui  concerne  les  chargements,  les dallages sont destinés à supporter des charges verticales statiques ne dépassant pas : </w:t>
      </w:r>
    </w:p>
    <w:p>
      <w:pPr>
        <w:pPr/>
        <w:numPr>
          <w:ilvl w:val="0"/>
          <w:numId w:val="10"/>
        </w:numPr>
      </w:pPr>
      <w:r>
        <w:rPr/>
        <w:t xml:space="preserve">250daN/m² en charge répartie surfacique ;</w:t>
      </w:r>
    </w:p>
    <w:p>
      <w:pPr>
        <w:pPr/>
        <w:numPr>
          <w:ilvl w:val="0"/>
          <w:numId w:val="10"/>
        </w:numPr>
      </w:pPr>
      <w:r>
        <w:rPr/>
        <w:t xml:space="preserve">5kN/ml en charge linéique ;</w:t>
      </w:r>
    </w:p>
    <w:p>
      <w:pPr>
        <w:pPr/>
        <w:numPr>
          <w:ilvl w:val="0"/>
          <w:numId w:val="10"/>
        </w:numPr>
      </w:pPr>
      <w:r>
        <w:rPr/>
        <w:t xml:space="preserve">10kN en charge ponctuelle. </w:t>
      </w:r>
    </w:p>
    <w:p>
      <w:pPr/>
      <w:r>
        <w:rPr/>
        <w:t xml:space="preserve">Les seules charges à caractère non statique admises sont les charges roulantes dues aux véhicules légers, pour autant qu’elles résultent de véhicules dont la vitesse est faible ou modérée (inférieure à 20km/h).</w:t>
      </w:r>
    </w:p>
    <w:p>
      <w:pPr/>
      <w:r>
        <w:rPr>
          <w:rStyle w:val="font_h1"/>
        </w:rPr>
        <w:t xml:space="preserve">3. Matériaux</w:t>
      </w:r>
    </w:p>
    <w:p>
      <w:pPr>
        <w:ind w:left="720" w:right="0"/>
      </w:pPr>
      <w:r>
        <w:rPr>
          <w:rStyle w:val="font_h2"/>
        </w:rPr>
        <w:t xml:space="preserve">3.1. Fibres</w:t>
      </w:r>
    </w:p>
    <w:p>
      <w:pPr/>
      <w:r>
        <w:rPr/>
        <w:t xml:space="preserve">Validé par le Groupe Spécialisé le 04/03/2025</w:t>
      </w:r>
    </w:p>
    <w:p>
      <w:pPr/>
      <w:r>
        <w:rPr>
          <w:b/>
          <w:bCs/>
        </w:rPr>
        <w:t xml:space="preserve">Description</w:t>
      </w:r>
    </w:p>
    <w:p>
      <w:pPr/>
      <w:r>
        <w:rPr/>
        <w:t xml:space="preserve">Donner les caractéristiques principales des fibres :</w:t>
      </w:r>
    </w:p>
    <w:p>
      <w:pPr>
        <w:pPr/>
        <w:numPr>
          <w:ilvl w:val="0"/>
          <w:numId w:val="11"/>
        </w:numPr>
      </w:pPr>
      <w:r>
        <w:rPr/>
        <w:t xml:space="preserve">Longueur de la fibre;</w:t>
      </w:r>
    </w:p>
    <w:p>
      <w:pPr>
        <w:pPr/>
        <w:numPr>
          <w:ilvl w:val="0"/>
          <w:numId w:val="11"/>
        </w:numPr>
      </w:pPr>
      <w:r>
        <w:rPr/>
        <w:t xml:space="preserve">Diamètre du fil;</w:t>
      </w:r>
    </w:p>
    <w:p>
      <w:pPr>
        <w:pPr/>
        <w:numPr>
          <w:ilvl w:val="0"/>
          <w:numId w:val="11"/>
        </w:numPr>
      </w:pPr>
      <w:r>
        <w:rPr/>
        <w:t xml:space="preserve">Résistance à la traction du fil;</w:t>
      </w:r>
    </w:p>
    <w:p>
      <w:pPr>
        <w:pPr/>
        <w:numPr>
          <w:ilvl w:val="0"/>
          <w:numId w:val="11"/>
        </w:numPr>
      </w:pPr>
      <w:r>
        <w:rPr/>
        <w:t xml:space="preserve">Facteur d'élancement L/d;</w:t>
      </w:r>
    </w:p>
    <w:p>
      <w:pPr>
        <w:pPr/>
        <w:numPr>
          <w:ilvl w:val="0"/>
          <w:numId w:val="11"/>
        </w:numPr>
      </w:pPr>
      <w:r>
        <w:rPr/>
        <w:t xml:space="preserve">Revêtement;</w:t>
      </w:r>
    </w:p>
    <w:p>
      <w:pPr>
        <w:pPr/>
        <w:numPr>
          <w:ilvl w:val="0"/>
          <w:numId w:val="11"/>
        </w:numPr>
      </w:pPr>
      <w:r>
        <w:rPr/>
        <w:t xml:space="preserve">Conditionnement;</w:t>
      </w:r>
    </w:p>
    <w:p>
      <w:pPr>
        <w:pPr/>
        <w:numPr>
          <w:ilvl w:val="0"/>
          <w:numId w:val="11"/>
        </w:numPr>
      </w:pPr>
      <w:r>
        <w:rPr/>
        <w:t xml:space="preserve">Conformité à une norme Européenne.</w:t>
      </w:r>
    </w:p>
    <w:p>
      <w:pPr/>
      <w:r>
        <w:rPr>
          <w:b/>
          <w:bCs/>
        </w:rPr>
        <w:t xml:space="preserve">Justification</w:t>
      </w:r>
    </w:p>
    <w:p>
      <w:pPr/>
      <w:r>
        <w:rPr/>
        <w:t xml:space="preserve">La non-traditionnalité du procédé relève de sa mise en œuvre et du dosage des fibres dans le béton. N’ayant aucune limite sur la quantité et les dimensions des fibres, il a été décidé de borner ces deux paramètres afin d’éviter les impacts sur le béton :</w:t>
      </w:r>
    </w:p>
    <w:p>
      <w:pPr/>
      <w:r>
        <w:rPr/>
        <w:t xml:space="preserve">• Une faible quantité de fibres pourrait avoir comme conséquences de faire passer le procédé du côté traditionnel (à plus forte raison que d’après les essais réalisés, la masse de fibres dans la dalle ne semble pas modifier les caractéristiques de celle-ci).</w:t>
      </w:r>
    </w:p>
    <w:p>
      <w:pPr/>
      <w:r>
        <w:rPr/>
        <w:t xml:space="preserve">Pour les dosages inférieurs au dosage défini pour le marquage CE, il est demandé par le GS de réaliser, afin de s’assurer de la maitrise de la fissuration, des essais comparatifs permettant de démontrer que l’impact du remplacement du treillis soudé conforme au NF DTU 13.3 P1-1-2 par les fibres est nul. Ces essais comparatifs devront être réalisés sur des dallettes 60 x 60 cm minimum en retrait gêné. Un protocole d'essais devra être proposé par les titulaires.</w:t>
      </w:r>
    </w:p>
    <w:p>
      <w:pPr>
        <w:ind w:left="720" w:right="0"/>
      </w:pPr>
      <w:r>
        <w:rPr>
          <w:rStyle w:val="font_h2"/>
        </w:rPr>
        <w:t xml:space="preserve">3.2. Béton</w:t>
      </w:r>
    </w:p>
    <w:p>
      <w:pPr/>
      <w:r>
        <w:rPr/>
        <w:t xml:space="preserve">Validé par le Groupe Spécialisé le 20/11/2018</w:t>
      </w:r>
    </w:p>
    <w:p>
      <w:pPr/>
      <w:r>
        <w:rPr>
          <w:b/>
          <w:bCs/>
        </w:rPr>
        <w:t xml:space="preserve">Description</w:t>
      </w:r>
    </w:p>
    <w:p>
      <w:pPr/>
      <w:r>
        <w:rPr/>
        <w:t xml:space="preserve">Donner la classe minimale de béton utilisé ainsi que la valeur E/C (rapport entre la quantité d'eau et la quantité de ciment).Le béton doit être conforme à la norme NF EN 206/CN et de classe minimum C30/37.Décrire les ciments utilisables ainsi que leur dosage minimum et également la consistance pour la mise en oeuvre.</w:t>
      </w:r>
    </w:p>
    <w:p>
      <w:pPr/>
      <w:r>
        <w:pict>
          <v:shape type="#_x0000_t75" style="width:675pt; height:440pt; margin-left:0pt; margin-top:0pt; mso-position-horizontal:left; mso-position-vertical:top; mso-position-horizontal-relative:char;">
            <w10:wrap type="inline"/>
            <v:imagedata r:id="rId7" o:title=""/>
          </v:shape>
        </w:pict>
      </w:r>
    </w:p>
    <w:p>
      <w:pPr/>
      <w:r>
        <w:rPr/>
        <w:t xml:space="preserve">La classe de consistance du béton doit être S4 ou S5 quel que soit le mode de mise en œuvre (avec ou sans vibration mécanique). Cette consistance ne peut être obtenue par ajout d’eau.</w:t>
      </w:r>
    </w:p>
    <w:p>
      <w:pPr/>
      <w:r>
        <w:rPr/>
        <w:t xml:space="preserve">Dans le cas d’une mise en œuvre manuelle, le béton doit être suffisamment fluide pour permettre une ouvrabilité et une mise en œuvre correcte.</w:t>
      </w:r>
    </w:p>
    <w:p>
      <w:pPr>
        <w:ind w:left="720" w:right="0"/>
      </w:pPr>
      <w:r>
        <w:rPr>
          <w:rStyle w:val="font_h2"/>
        </w:rPr>
        <w:t xml:space="preserve">3.3. Adjuvant</w:t>
      </w:r>
    </w:p>
    <w:p>
      <w:pPr>
        <w:ind w:left="720" w:right="0"/>
      </w:pPr>
      <w:r>
        <w:rPr>
          <w:rStyle w:val="font_h2"/>
        </w:rPr>
        <w:t xml:space="preserve">3.4. Autres composants</w:t>
      </w:r>
    </w:p>
    <w:p>
      <w:pPr/>
      <w:r>
        <w:rPr>
          <w:rStyle w:val="font_h1"/>
        </w:rPr>
        <w:t xml:space="preserve">4. Fabrication, contrôle et transport</w:t>
      </w:r>
    </w:p>
    <w:p>
      <w:pPr>
        <w:ind w:left="720" w:right="0"/>
      </w:pPr>
      <w:r>
        <w:rPr>
          <w:rStyle w:val="font_h2"/>
        </w:rPr>
        <w:t xml:space="preserve">4.1. Fabrication des fibres</w:t>
      </w:r>
    </w:p>
    <w:p>
      <w:pPr>
        <w:ind w:left="720" w:right="0"/>
      </w:pPr>
      <w:r>
        <w:rPr>
          <w:rStyle w:val="font_h2"/>
        </w:rPr>
        <w:t xml:space="preserve">4.2. Contrôle</w:t>
      </w:r>
    </w:p>
    <w:p>
      <w:pPr>
        <w:ind w:left="720" w:right="0"/>
      </w:pPr>
      <w:r>
        <w:rPr>
          <w:rStyle w:val="font_h2"/>
        </w:rPr>
        <w:t xml:space="preserve">4.3. Transport</w:t>
      </w:r>
    </w:p>
    <w:p>
      <w:pPr/>
      <w:r>
        <w:rPr>
          <w:rStyle w:val="font_h1"/>
        </w:rPr>
        <w:t xml:space="preserve">5. Dimensionnement</w:t>
      </w:r>
    </w:p>
    <w:p>
      <w:pPr/>
      <w:r>
        <w:rPr/>
        <w:t xml:space="preserve">Validé par le Groupe Spécialisé le 04/03/2025</w:t>
      </w:r>
    </w:p>
    <w:p>
      <w:pPr/>
      <w:r>
        <w:rPr>
          <w:b/>
          <w:bCs/>
        </w:rPr>
        <w:t xml:space="preserve">Description</w:t>
      </w:r>
    </w:p>
    <w:p>
      <w:pPr/>
      <w:r>
        <w:rPr/>
        <w:t xml:space="preserve">Le dimensionnement est réalisé conformément au DTU 13.3 partie 3.</w:t>
      </w:r>
    </w:p>
    <w:p>
      <w:pPr/>
      <w:r>
        <w:rPr/>
        <w:t xml:space="preserve">Les essais de flexion, poinçonnement et durabilité doivent être réalisés.</w:t>
      </w:r>
    </w:p>
    <w:p>
      <w:pPr/>
      <w:r>
        <w:rPr/>
        <w:t xml:space="preserve"> - Essai de flexion-traction sur prisme 150x150x550 mm (sur dalles de 600x600 mm d'épaisseur 100 mm suivant les recommandations BFIM) de béton C30/37 fibré. - Essai de poinçonnement réalisé sur une plaque de 600x600 mm et d'épaisseur 100 mm permettant de comparer le comportement à la flexion du béton fibré. - Essai de durabilité</w:t>
      </w:r>
    </w:p>
    <w:p>
      <w:pPr/>
      <w:r>
        <w:rPr/>
        <w:t xml:space="preserve">Pour les dosages inférieurs au dosage défini pour le marquage CE, il est demandé par le GS de réaliser, afin de s’assurer de la maitrise de la fissuration, des essais comparatifs permettant de démontrer que l’impact du remplacement du treillis soudé conforme au NF DTU 13.3 P1-1-2 par les fibres est nul. Ces essais comparatifs devront être réalisés sur des dallettes 60 x 60 cm minimum en retrait gêné.Un protocole d'essais devra être proposé par les titulaires.</w:t>
      </w:r>
    </w:p>
    <w:p>
      <w:pPr/>
      <w:r>
        <w:rPr>
          <w:b/>
          <w:bCs/>
        </w:rPr>
        <w:t xml:space="preserve">Justification</w:t>
      </w:r>
    </w:p>
    <w:p>
      <w:pPr/>
      <w:r>
        <w:rPr/>
        <w:t xml:space="preserve">Essais de flexion, poinçonnement et durabilité à fournir.</w:t>
      </w:r>
    </w:p>
    <w:p>
      <w:pPr/>
      <w:r>
        <w:rPr>
          <w:rStyle w:val="font_h1"/>
        </w:rPr>
        <w:t xml:space="preserve">6. Mise en oeuvre</w:t>
      </w:r>
    </w:p>
    <w:p>
      <w:pPr>
        <w:ind w:left="720" w:right="0"/>
      </w:pPr>
      <w:r>
        <w:rPr>
          <w:rStyle w:val="font_h2"/>
        </w:rPr>
        <w:t xml:space="preserve">6.1. Réception du sol</w:t>
      </w:r>
    </w:p>
    <w:p>
      <w:pPr>
        <w:ind w:left="720" w:right="0"/>
      </w:pPr>
      <w:r>
        <w:rPr>
          <w:rStyle w:val="font_h2"/>
        </w:rPr>
        <w:t xml:space="preserve">6.2. Mise en œuvre des fibres dans le béton</w:t>
      </w:r>
    </w:p>
    <w:p>
      <w:pPr>
        <w:ind w:left="720" w:right="0"/>
      </w:pPr>
      <w:r>
        <w:rPr>
          <w:rStyle w:val="font_h2"/>
        </w:rPr>
        <w:t xml:space="preserve">6.3. Mise en oeuvre du béton en place</w:t>
      </w:r>
    </w:p>
    <w:p>
      <w:pPr>
        <w:ind w:left="720" w:right="0"/>
      </w:pPr>
      <w:r>
        <w:rPr>
          <w:rStyle w:val="font_h2"/>
        </w:rPr>
        <w:t xml:space="preserve">6.4. Mise en oeuvre des autres composants</w:t>
      </w:r>
    </w:p>
    <w:p>
      <w:pPr/>
      <w:r>
        <w:rPr>
          <w:rStyle w:val="font_h1"/>
        </w:rPr>
        <w:t xml:space="preserve">7. Références chantier</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4B3B3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29C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B4F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2026-10-16T02:39:03+02:00</dcterms:created>
  <dcterms:modified xsi:type="dcterms:W3CDTF">2026-10-16T02:39:03+02:00</dcterms:modified>
</cp:coreProperties>
</file>

<file path=docProps/custom.xml><?xml version="1.0" encoding="utf-8"?>
<Properties xmlns="http://schemas.openxmlformats.org/officeDocument/2006/custom-properties" xmlns:vt="http://schemas.openxmlformats.org/officeDocument/2006/docPropsVTypes"/>
</file>