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tissus verre et/ou carbone avec une matrice polymère</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Tissu en fibre de carbone unidirectionnelle ;</w:t>
      </w:r>
    </w:p>
    <w:p>
      <w:pPr>
        <w:pPr/>
        <w:numPr>
          <w:ilvl w:val="0"/>
          <w:numId w:val="9"/>
        </w:numPr>
      </w:pPr>
      <w:r>
        <w:rPr/>
        <w:t xml:space="preserve">Tissu en fibre de verre unidirectionnelle ;</w:t>
      </w:r>
    </w:p>
    <w:p>
      <w:pPr>
        <w:pPr/>
        <w:numPr>
          <w:ilvl w:val="0"/>
          <w:numId w:val="9"/>
        </w:numPr>
      </w:pPr>
      <w:r>
        <w:rPr/>
        <w:t xml:space="preserve">Tissu en fibre bidirectionnelle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Cisaillement ;</w:t>
      </w:r>
    </w:p>
    <w:p>
      <w:pPr>
        <w:pPr/>
        <w:numPr>
          <w:ilvl w:val="0"/>
          <w:numId w:val="10"/>
        </w:numPr>
      </w:pPr>
      <w:r>
        <w:rPr/>
        <w:t xml:space="preserve">Traction ;</w:t>
      </w:r>
    </w:p>
    <w:p>
      <w:pPr>
        <w:pPr/>
        <w:numPr>
          <w:ilvl w:val="0"/>
          <w:numId w:val="10"/>
        </w:numPr>
      </w:pPr>
      <w:r>
        <w:rPr/>
        <w:t xml:space="preserve">Confinement d’élément de structure</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supermarchés, etc… et des bâtiments industriels.</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et poteaux, renfort de voiles, renfort de plancher, …</w:t>
      </w:r>
    </w:p>
    <w:p>
      <w:pPr/>
      <w:r>
        <w:rPr/>
        <w:t xml:space="preserve">Les milieux ambiants tels que l'atmosphère agressive, immersion ou support humide ne sont pas visés.Préciser la plage de température d'utilisation.</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des tissus</w:t>
      </w:r>
    </w:p>
    <w:p>
      <w:pPr/>
      <w:r>
        <w:rPr/>
        <w:t xml:space="preserve">Validé par le Groupe Spécialisé le 20/11/2018</w:t>
      </w:r>
    </w:p>
    <w:p>
      <w:pPr/>
      <w:r>
        <w:rPr>
          <w:b/>
          <w:bCs/>
        </w:rPr>
        <w:t xml:space="preserve">Description</w:t>
      </w:r>
    </w:p>
    <w:p>
      <w:pPr>
        <w:pPr/>
        <w:numPr>
          <w:ilvl w:val="0"/>
          <w:numId w:val="12"/>
        </w:numPr>
      </w:pPr>
      <w:r>
        <w:rPr/>
        <w:t xml:space="preserve">Dimensions (L, l, h) ;</w:t>
      </w:r>
    </w:p>
    <w:p>
      <w:pPr>
        <w:pPr/>
        <w:numPr>
          <w:ilvl w:val="0"/>
          <w:numId w:val="12"/>
        </w:numPr>
      </w:pPr>
      <w:r>
        <w:rPr/>
        <w:t xml:space="preserve">Type de tissage ;</w:t>
      </w:r>
    </w:p>
    <w:p>
      <w:pPr>
        <w:pPr/>
        <w:numPr>
          <w:ilvl w:val="0"/>
          <w:numId w:val="12"/>
        </w:numPr>
      </w:pPr>
      <w:r>
        <w:rPr/>
        <w:t xml:space="preserve">Composition conforme à la norme ISO 7211-3 (nature des fibres, orientation des fibres (unidirectionnel, bidirectionnel, angle d’orientation des fibres, %fibres chaîne, %fibres trame), couleur, densité linéique des fibres sèches dans chaque direction, nombre de filament par fil, type de fibres dans la trame et dans la chaîne du tissu, épaisseur du tissus, masse surfacique des fibres sèches (totale et dans chaque direction)) ;</w:t>
      </w:r>
    </w:p>
    <w:p>
      <w:pPr>
        <w:pPr/>
        <w:numPr>
          <w:ilvl w:val="0"/>
          <w:numId w:val="12"/>
        </w:numPr>
      </w:pPr>
      <w:r>
        <w:rPr/>
        <w:t xml:space="preserve">Caractéristiques mécaniques des fibres sèches : résistance à la rupture par traction (valeurs caractéristiques fractile 5%), allongement à la rupture, module d’élasticité longitudinal) qualification expérimentale suivant l’ISO 10618 ;</w:t>
      </w:r>
    </w:p>
    <w:p>
      <w:pPr>
        <w:pPr/>
        <w:numPr>
          <w:ilvl w:val="0"/>
          <w:numId w:val="12"/>
        </w:numPr>
      </w:pPr>
      <w:r>
        <w:rPr/>
        <w:t xml:space="preserve">Conditionnement (rouleaux : longueur, largeur, ...) ;</w:t>
      </w:r>
    </w:p>
    <w:p>
      <w:pPr>
        <w:pPr/>
        <w:numPr>
          <w:ilvl w:val="0"/>
          <w:numId w:val="12"/>
        </w:numPr>
      </w:pPr>
      <w:r>
        <w:rPr/>
        <w:t xml:space="preserve">Identification et marquage ;</w:t>
      </w:r>
    </w:p>
    <w:p>
      <w:pPr>
        <w:pPr/>
        <w:numPr>
          <w:ilvl w:val="0"/>
          <w:numId w:val="12"/>
        </w:numPr>
      </w:pPr>
      <w:r>
        <w:rPr/>
        <w:t xml:space="preserve">Principe général de pose sur le support (stratification, …).</w:t>
      </w:r>
    </w:p>
    <w:p>
      <w:pPr>
        <w:ind w:left="720" w:right="0"/>
      </w:pPr>
      <w:r>
        <w:rPr>
          <w:rStyle w:val="font_h2"/>
        </w:rPr>
        <w:t xml:space="preserve">3.2. Caractéristiques de la colle/résine</w:t>
      </w:r>
    </w:p>
    <w:p>
      <w:pPr/>
      <w:r>
        <w:rPr/>
        <w:t xml:space="preserve">Validé par le Groupe Spécialisé le 17/06/2021</w:t>
      </w:r>
    </w:p>
    <w:p>
      <w:pPr/>
      <w:r>
        <w:rPr>
          <w:b/>
          <w:bCs/>
        </w:rPr>
        <w:t xml:space="preserve">Description</w:t>
      </w:r>
    </w:p>
    <w:p>
      <w:pPr>
        <w:pPr/>
        <w:numPr>
          <w:ilvl w:val="0"/>
          <w:numId w:val="13"/>
        </w:numPr>
      </w:pPr>
      <w:r>
        <w:rPr/>
        <w:t xml:space="preserve">Type de résine (résine bi-composante pour imprégnation des tissus, …) ;</w:t>
      </w:r>
    </w:p>
    <w:p>
      <w:pPr>
        <w:pPr/>
        <w:numPr>
          <w:ilvl w:val="0"/>
          <w:numId w:val="13"/>
        </w:numPr>
      </w:pPr>
      <w:r>
        <w:rPr/>
        <w:t xml:space="preserve">Description des composants de la colle : </w:t>
      </w:r>
    </w:p>
    <w:p>
      <w:pPr>
        <w:pPr/>
        <w:numPr>
          <w:ilvl w:val="1"/>
          <w:numId w:val="13"/>
        </w:numPr>
      </w:pPr>
      <w:r>
        <w:rPr/>
        <w:t xml:space="preserve">base (aspect visuel, viscosité, densité, température de stockage) ;</w:t>
      </w:r>
    </w:p>
    <w:p>
      <w:pPr>
        <w:pPr/>
        <w:numPr>
          <w:ilvl w:val="1"/>
          <w:numId w:val="13"/>
        </w:numPr>
      </w:pPr>
      <w:r>
        <w:rPr/>
        <w:t xml:space="preserve">durcisseur (viscosité, densité, température de stockage) ;</w:t>
      </w:r>
    </w:p>
    <w:p>
      <w:pPr>
        <w:pPr/>
        <w:numPr>
          <w:ilvl w:val="0"/>
          <w:numId w:val="13"/>
        </w:numPr>
      </w:pPr>
      <w:r>
        <w:rPr/>
        <w:t xml:space="preserve">Caractéristiques mécaniques (selon la norme NF EN 1504-4) ;</w:t>
      </w:r>
    </w:p>
    <w:p>
      <w:pPr>
        <w:pPr/>
        <w:numPr>
          <w:ilvl w:val="0"/>
          <w:numId w:val="13"/>
        </w:numPr>
      </w:pPr>
      <w:r>
        <w:rPr/>
        <w:t xml:space="preserve">Rapport d’emploi en poids et en volume « base/Durcisseur » ;</w:t>
      </w:r>
    </w:p>
    <w:p>
      <w:pPr>
        <w:pPr/>
        <w:numPr>
          <w:ilvl w:val="0"/>
          <w:numId w:val="13"/>
        </w:numPr>
      </w:pPr>
      <w:r>
        <w:rPr/>
        <w:t xml:space="preserve">Durée Pratique d’Utilisation, dureté Shore de la colle/résine et coefficient de dilatation thermique) ;</w:t>
      </w:r>
    </w:p>
    <w:p>
      <w:pPr>
        <w:pPr/>
        <w:numPr>
          <w:ilvl w:val="0"/>
          <w:numId w:val="13"/>
        </w:numPr>
      </w:pPr>
      <w:r>
        <w:rPr/>
        <w:t xml:space="preserve">Consommation moyenne par couche de tissus (en fonction du type de tissus) ;</w:t>
      </w:r>
    </w:p>
    <w:p>
      <w:pPr>
        <w:pPr/>
        <w:numPr>
          <w:ilvl w:val="0"/>
          <w:numId w:val="13"/>
        </w:numPr>
      </w:pPr>
      <w:r>
        <w:rPr/>
        <w:t xml:space="preserve">Température de transition vitreuse Tg (Analyse calorimétrique suivant NF EN 12614) avec cure de 7 jours à une température de 21°C ± 2 et sans cycle thermique préalable ;</w:t>
      </w:r>
    </w:p>
    <w:p>
      <w:pPr>
        <w:pPr/>
        <w:numPr>
          <w:ilvl w:val="0"/>
          <w:numId w:val="13"/>
        </w:numPr>
      </w:pPr>
      <w:r>
        <w:rPr/>
        <w:t xml:space="preserve">Conditionnement (kit, poids, …) ;</w:t>
      </w:r>
    </w:p>
    <w:p>
      <w:pPr>
        <w:pPr/>
        <w:numPr>
          <w:ilvl w:val="0"/>
          <w:numId w:val="13"/>
        </w:numPr>
      </w:pPr>
      <w:r>
        <w:rPr/>
        <w:t xml:space="preserve">Identification et marquage.</w:t>
      </w:r>
    </w:p>
    <w:p>
      <w:pPr>
        <w:ind w:left="720" w:right="0"/>
      </w:pPr>
      <w:r>
        <w:rPr>
          <w:rStyle w:val="font_h2"/>
        </w:rPr>
        <w:t xml:space="preserve">3.3. Caractéristiques du composite en fibres carbone/verre</w:t>
      </w:r>
    </w:p>
    <w:p>
      <w:pPr/>
      <w:r>
        <w:rPr/>
        <w:t xml:space="preserve">Validé par le Groupe Spécialisé le 17/06/2021</w:t>
      </w:r>
    </w:p>
    <w:p>
      <w:pPr/>
      <w:r>
        <w:rPr>
          <w:b/>
          <w:bCs/>
        </w:rPr>
        <w:t xml:space="preserve">Description</w:t>
      </w:r>
    </w:p>
    <w:p>
      <w:pPr/>
      <w:r>
        <w:rPr/>
        <w:t xml:space="preserve">Composition du composite (% de fibres et % de résine, quantité de colle au m², épaisseur nominale).</w:t>
      </w:r>
    </w:p>
    <w:p>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3.4.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 :</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3.5.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 :</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3.6. Caractéristiques des dispositifs d’ancrage</w:t>
      </w:r>
    </w:p>
    <w:p>
      <w:pPr/>
      <w:r>
        <w:rPr/>
        <w:t xml:space="preserve">Validé par le Groupe Spécialisé le 20/11/2018</w:t>
      </w:r>
    </w:p>
    <w:p>
      <w:pPr/>
      <w:r>
        <w:rPr>
          <w:b/>
          <w:bCs/>
        </w:rPr>
        <w:t xml:space="preserve">Description</w:t>
      </w:r>
    </w:p>
    <w:p>
      <w:pPr/>
      <w:r>
        <w:rPr/>
        <w:t xml:space="preserve">Indiquer les dispositifs d'ancrage utilisés (mise en œuvre, efforts repris, etc...) et préciser le matériau ainsi que les caractéristiques mécaniques de ces dispositifs.</w:t>
      </w:r>
    </w:p>
    <w:p>
      <w:pPr>
        <w:ind w:left="720" w:right="0"/>
      </w:pPr>
      <w:r>
        <w:rPr>
          <w:rStyle w:val="font_h2"/>
        </w:rPr>
        <w:t xml:space="preserve">3.7.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 6 derniers mois (internes et externes)</w:t>
      </w:r>
    </w:p>
    <w:p>
      <w:pPr/>
      <w:r>
        <w:rPr>
          <w:rStyle w:val="font_h1"/>
        </w:rPr>
        <w:t xml:space="preserve">5. Stabilité de l’ouvrage</w:t>
      </w:r>
    </w:p>
    <w:p>
      <w:pPr/>
      <w:r>
        <w:rPr/>
        <w:t xml:space="preserve">Validé par le Groupe Spécialisé le 17/06/2021</w:t>
      </w:r>
    </w:p>
    <w:p>
      <w:pPr/>
      <w:r>
        <w:rPr>
          <w:b/>
          <w:bCs/>
        </w:rPr>
        <w:t xml:space="preserve">Description</w:t>
      </w:r>
    </w:p>
    <w:p>
      <w:pPr/>
      <w:r>
        <w:rPr/>
        <w:t xml:space="preserve">Détailler les méthodes de dimensionnement suivant la nature de l’ouvrage (béton armé, béton précontraint, …), le type de sollicitation visé et le type de renfort (Tissus).</w:t>
      </w:r>
    </w:p>
    <w:p>
      <w:pPr>
        <w:pPr/>
        <w:numPr>
          <w:ilvl w:val="0"/>
          <w:numId w:val="16"/>
        </w:numPr>
      </w:pPr>
      <w:r>
        <w:rPr/>
        <w:t xml:space="preserve">Flexion (ELU, ELS, cisaillement de glissement de délaminage) ;</w:t>
      </w:r>
    </w:p>
    <w:p>
      <w:pPr>
        <w:pPr/>
        <w:numPr>
          <w:ilvl w:val="0"/>
          <w:numId w:val="16"/>
        </w:numPr>
      </w:pPr>
      <w:r>
        <w:rPr/>
        <w:t xml:space="preserve">Effort tranchant ;</w:t>
      </w:r>
    </w:p>
    <w:p>
      <w:pPr>
        <w:pPr/>
        <w:numPr>
          <w:ilvl w:val="0"/>
          <w:numId w:val="16"/>
        </w:numPr>
      </w:pPr>
      <w:r>
        <w:rPr/>
        <w:t xml:space="preserve">Autres types de sollicitations si visés (confinement de poteau, …) ;</w:t>
      </w:r>
    </w:p>
    <w:p>
      <w:pPr>
        <w:pPr/>
        <w:numPr>
          <w:ilvl w:val="0"/>
          <w:numId w:val="16"/>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22/04/2025</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7"/>
        </w:numPr>
      </w:pPr>
      <w:r>
        <w:rPr/>
        <w:t xml:space="preserve">Interface composite/composite (tissus en recouvrement) : qualification expérimentale suivant recommandations AFGC de Février 2011 – élément obligatoire, sauf si le recouvrement des composites n’est pas visé</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7"/>
        </w:numPr>
      </w:pPr>
      <w:r>
        <w:rPr/>
        <w:t xml:space="preserve">Longueur d’ancrage expérimentale lanc,exp ;</w:t>
      </w:r>
    </w:p>
    <w:p>
      <w:pPr>
        <w:pPr/>
        <w:numPr>
          <w:ilvl w:val="1"/>
          <w:numId w:val="17"/>
        </w:numPr>
      </w:pPr>
      <w:r>
        <w:rPr/>
        <w:t xml:space="preserve">Loi de comportement en cisaillement ;</w:t>
      </w:r>
    </w:p>
    <w:p>
      <w:pPr>
        <w:pPr/>
        <w:numPr>
          <w:ilvl w:val="1"/>
          <w:numId w:val="17"/>
        </w:numPr>
      </w:pPr>
      <w:r>
        <w:rPr/>
        <w:t xml:space="preserve">Résistance ultime de cisaillement τad,u et τadd (AFGC : Essai de double recouvrement ou essai à simple recouvrement). Il devra être fourni un élément de preuve permettant de justifier ces valeurs pour la vérification du glissement à l’interface composite-béton. Les valeurs minimales fournies par les règles AFCG ne doivent pas être reprises dans les Avis Techniques ;</w:t>
      </w:r>
    </w:p>
    <w:p>
      <w:pPr>
        <w:pPr/>
        <w:numPr>
          <w:ilvl w:val="1"/>
          <w:numId w:val="17"/>
        </w:numPr>
      </w:pPr>
      <w:r>
        <w:rPr/>
        <w:t xml:space="preserve">Résistance par adhérence en traction directe (Minimum : 1.5MPa) : adhérence sur support visé (béton sec, béton humide, en fonction du domaine d’emploi visé…).</w:t>
      </w:r>
    </w:p>
    <w:p>
      <w:pPr>
        <w:pPr/>
        <w:numPr>
          <w:ilvl w:val="0"/>
          <w:numId w:val="17"/>
        </w:numPr>
      </w:pPr>
      <w:r>
        <w:rPr/>
        <w:t xml:space="preserve">Interface composite/dispositifs d’ancrage (le cas échéant) : qualification expérimentale suivant recommandations AFGC de Février 2011</w:t>
      </w:r>
    </w:p>
    <w:p>
      <w:pPr>
        <w:pPr/>
        <w:numPr>
          <w:ilvl w:val="1"/>
          <w:numId w:val="17"/>
        </w:numPr>
      </w:pPr>
      <w:r>
        <w:rPr/>
        <w:t xml:space="preserve">La compatibilité galvanique entre les plaques acier et le tissu carbone devra être démontrée. Dans le cas contraire, la méthode d’ancrage devra être supprimée du Dossier Technique ;</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Dispositifs d’ancrage spécifiques : </w:t>
      </w:r>
    </w:p>
    <w:p>
      <w:pPr>
        <w:pPr/>
        <w:numPr>
          <w:ilvl w:val="1"/>
          <w:numId w:val="17"/>
        </w:numPr>
      </w:pPr>
      <w:r>
        <w:rPr/>
        <w:t xml:space="preserve">Détermination des performances mécaniques par qualifications expérimentales.</w:t>
      </w:r>
    </w:p>
    <w:p>
      <w:pPr>
        <w:pPr/>
        <w:numPr>
          <w:ilvl w:val="0"/>
          <w:numId w:val="17"/>
        </w:numPr>
      </w:pPr>
      <w:r>
        <w:rPr/>
        <w:t xml:space="preserve">Résine d’imprégnation des tissus : cf. §3.2</w:t>
      </w:r>
    </w:p>
    <w:p>
      <w:pPr>
        <w:pPr/>
        <w:numPr>
          <w:ilvl w:val="0"/>
          <w:numId w:val="17"/>
        </w:numPr>
      </w:pPr>
      <w:r>
        <w:rPr/>
        <w:t xml:space="preserve">Tissus : cf. §3.1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 ;Vérification de la contrainte de glissement à l’interface composite/béton.</w:t>
      </w:r>
    </w:p>
    <w:p>
      <w:pPr/>
      <w:r>
        <w:rPr/>
        <w:t xml:space="preserve">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à l’effort tranchant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6.4. Dimensionnement du renforcement en flexion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échéant;Vérification de la contrainte de glissement à l’interface composite/béton.</w:t>
      </w:r>
    </w:p>
    <w:p>
      <w:pPr/>
      <w:r>
        <w:rPr>
          <w:b/>
          <w:bCs/>
        </w:rPr>
        <w:t xml:space="preserve">Justification</w:t>
      </w:r>
    </w:p>
    <w:p>
      <w:pPr/>
      <w:r>
        <w:rPr/>
        <w:t xml:space="preserve">Note de calcul attendue</w:t>
      </w:r>
    </w:p>
    <w:p>
      <w:pPr>
        <w:ind w:left="720" w:right="0"/>
      </w:pPr>
      <w:r>
        <w:rPr>
          <w:rStyle w:val="font_h2"/>
        </w:rPr>
        <w:t xml:space="preserve">6.5. Dimensionnement du renforcement à l’effort tranchant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6.6. Dimensionnement du renforcement des poteaux en béton par confinement</w:t>
      </w:r>
    </w:p>
    <w:p>
      <w:pPr/>
      <w:r>
        <w:rPr/>
        <w:t xml:space="preserve">Validé par le Groupe Spécialisé le 20/11/2018</w:t>
      </w:r>
    </w:p>
    <w:p>
      <w:pPr/>
      <w:r>
        <w:rPr>
          <w:b/>
          <w:bCs/>
        </w:rPr>
        <w:t xml:space="preserve">Description</w:t>
      </w:r>
    </w:p>
    <w:p>
      <w:pPr/>
      <w:r>
        <w:rPr/>
        <w:t xml:space="preserve">Détail des règles de calcul utilisées et domaine d’emploi de la méthode (élancement, géométrie des sections de poteaux, …) ;Justification du renforcement par confinement.</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r>
        <w:rPr/>
        <w:t xml:space="preserve">Superposition et recouvrement des renforts, conditions d’ancrage des renforts, courbures, …</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r>
        <w:rPr/>
        <w:t xml:space="preserve">Décrire le renforcement des structures isostatiques, renforcement type de structure hyperstatique, confinement de poteaux, systèmes d’ancrage, …</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Décrire les conditions climatiques d’environnement : température du support, température et hygrométrie de l’air ambiant, conditions de maintien de la température et de l’hygromètrie.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r>
        <w:rPr/>
        <w:t xml:space="preserve">Détailler l'état de surface du support à atteindre avant collage (Méthodes de préparation et de traitement – ragréage, traitement des fissures, etc…) ;Description de la mise en œuvre (chronologie de pose suivant le type de renfort lamelles/dispositifs d’ancrage particuliers ; délai maximum entre l’application des constituants (plis, tissus/méches,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r>
        <w:rPr/>
        <w:t xml:space="preserve">Fiches d’autocontrôle (exemple de rapport de pastillage à fournir, etc…) ;Figures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Fournir un 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fournir un PV de résistance au feu sur support identique réalisé par un laboratoire agréé.</w:t>
      </w:r>
    </w:p>
    <w:p>
      <w:pPr/>
      <w:r>
        <w:rPr>
          <w:b/>
          <w:bCs/>
        </w:rPr>
        <w:t xml:space="preserve">Justification</w:t>
      </w:r>
    </w:p>
    <w:p>
      <w:pPr/>
      <w:r>
        <w:rPr/>
        <w:t xml:space="preserve">Fournir un PV de résistance au feu.</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chantierde moins de 7 ans  pour chaque élément). Pour chaque référence, il faut préciser :</w:t>
      </w:r>
    </w:p>
    <w:p>
      <w:pPr>
        <w:pPr/>
        <w:numPr>
          <w:ilvl w:val="0"/>
          <w:numId w:val="18"/>
        </w:numPr>
      </w:pPr>
      <w:r>
        <w:rPr/>
        <w:t xml:space="preserve">Le type de chantier ;</w:t>
      </w:r>
    </w:p>
    <w:p>
      <w:pPr>
        <w:pPr/>
        <w:numPr>
          <w:ilvl w:val="0"/>
          <w:numId w:val="18"/>
        </w:numPr>
      </w:pPr>
      <w:r>
        <w:rPr/>
        <w:t xml:space="preserve">Le lieu ;</w:t>
      </w:r>
    </w:p>
    <w:p>
      <w:pPr>
        <w:pPr/>
        <w:numPr>
          <w:ilvl w:val="0"/>
          <w:numId w:val="18"/>
        </w:numPr>
      </w:pPr>
      <w:r>
        <w:rPr/>
        <w:t xml:space="preserve">La date de mise en œuvre ;</w:t>
      </w:r>
    </w:p>
    <w:p>
      <w:pPr>
        <w:pPr/>
        <w:numPr>
          <w:ilvl w:val="0"/>
          <w:numId w:val="18"/>
        </w:numPr>
      </w:pPr>
      <w:r>
        <w:rPr/>
        <w:t xml:space="preserve">Le contrôleur technique s’il y en a eu un ;</w:t>
      </w:r>
    </w:p>
    <w:p>
      <w:pPr>
        <w:pPr/>
        <w:numPr>
          <w:ilvl w:val="0"/>
          <w:numId w:val="18"/>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966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B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1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52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B7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C0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D6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0F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804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BE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2026-04-17T10:28:10+02:00</dcterms:created>
  <dcterms:modified xsi:type="dcterms:W3CDTF">2026-04-17T10:28:10+02:00</dcterms:modified>
</cp:coreProperties>
</file>

<file path=docProps/custom.xml><?xml version="1.0" encoding="utf-8"?>
<Properties xmlns="http://schemas.openxmlformats.org/officeDocument/2006/custom-properties" xmlns:vt="http://schemas.openxmlformats.org/officeDocument/2006/docPropsVTypes"/>
</file>