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Renforcement d’éléments de structure par collage de plaques ou plats composites</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et utilisation du procédé « renforcement d’élément de structure par collage » :</w:t>
      </w:r>
    </w:p>
    <w:p>
      <w:pPr>
        <w:pPr/>
        <w:numPr>
          <w:ilvl w:val="0"/>
          <w:numId w:val="9"/>
        </w:numPr>
      </w:pPr>
      <w:r>
        <w:rPr/>
        <w:t xml:space="preserve">Rôle et principe de fonctionnement du procédé ; </w:t>
      </w:r>
    </w:p>
    <w:p>
      <w:pPr>
        <w:pPr/>
        <w:numPr>
          <w:ilvl w:val="0"/>
          <w:numId w:val="9"/>
        </w:numPr>
      </w:pPr>
      <w:r>
        <w:rPr/>
        <w:t xml:space="preserve">Type de résine.</w:t>
      </w:r>
    </w:p>
    <w:p>
      <w:pPr/>
      <w:r>
        <w:rPr/>
        <w:t xml:space="preserve">Pour quel type de renforcement :</w:t>
      </w:r>
    </w:p>
    <w:p>
      <w:pPr>
        <w:pPr/>
        <w:numPr>
          <w:ilvl w:val="0"/>
          <w:numId w:val="10"/>
        </w:numPr>
      </w:pPr>
      <w:r>
        <w:rPr/>
        <w:t xml:space="preserve">Flexion ;</w:t>
      </w:r>
    </w:p>
    <w:p>
      <w:pPr>
        <w:pPr/>
        <w:numPr>
          <w:ilvl w:val="0"/>
          <w:numId w:val="10"/>
        </w:numPr>
      </w:pPr>
      <w:r>
        <w:rPr/>
        <w:t xml:space="preserve">Traction.</w:t>
      </w:r>
    </w:p>
    <w:p>
      <w:pPr/>
      <w:r>
        <w:rPr>
          <w:rStyle w:val="font_h1"/>
        </w:rPr>
        <w:t xml:space="preserve">2. Domaine d’emploi</w:t>
      </w:r>
    </w:p>
    <w:p>
      <w:pPr/>
      <w:r>
        <w:rPr/>
        <w:t xml:space="preserve">Validé par le Groupe Spécialisé le 17/06/2021</w:t>
      </w:r>
    </w:p>
    <w:p>
      <w:pPr/>
      <w:r>
        <w:rPr>
          <w:b/>
          <w:bCs/>
        </w:rPr>
        <w:t xml:space="preserve">Description</w:t>
      </w:r>
    </w:p>
    <w:p>
      <w:pPr/>
      <w:r>
        <w:rPr/>
        <w:t xml:space="preserve">Destination du procédé : bâtiments de type habitations, bureaux, hôpitaux, administrations, etc… et des bâtiments industriels ;</w:t>
      </w:r>
    </w:p>
    <w:p>
      <w:pPr/>
      <w:r>
        <w:rPr/>
        <w:t xml:space="preserve">Types de support visé : </w:t>
      </w:r>
    </w:p>
    <w:p>
      <w:pPr>
        <w:pPr/>
        <w:numPr>
          <w:ilvl w:val="0"/>
          <w:numId w:val="11"/>
        </w:numPr>
      </w:pPr>
      <w:r>
        <w:rPr/>
        <w:t xml:space="preserve">Structures neuves ;</w:t>
      </w:r>
    </w:p>
    <w:p>
      <w:pPr>
        <w:pPr/>
        <w:numPr>
          <w:ilvl w:val="0"/>
          <w:numId w:val="11"/>
        </w:numPr>
      </w:pPr>
      <w:r>
        <w:rPr/>
        <w:t xml:space="preserve">Structures anciennes ;</w:t>
      </w:r>
    </w:p>
    <w:p>
      <w:pPr>
        <w:pPr/>
        <w:numPr>
          <w:ilvl w:val="0"/>
          <w:numId w:val="11"/>
        </w:numPr>
      </w:pPr>
      <w:r>
        <w:rPr/>
        <w:t xml:space="preserve">Béton armé ; </w:t>
      </w:r>
    </w:p>
    <w:p>
      <w:pPr>
        <w:pPr/>
        <w:numPr>
          <w:ilvl w:val="0"/>
          <w:numId w:val="11"/>
        </w:numPr>
      </w:pPr>
      <w:r>
        <w:rPr/>
        <w:t xml:space="preserve">Béton précontraint ; </w:t>
      </w:r>
    </w:p>
    <w:p>
      <w:pPr>
        <w:pPr/>
        <w:numPr>
          <w:ilvl w:val="0"/>
          <w:numId w:val="11"/>
        </w:numPr>
      </w:pPr>
      <w:r>
        <w:rPr/>
        <w:t xml:space="preserve">Critères de réception des supports (état de surface, cohésion superficielle, classe de résistance minimale du béton, …)</w:t>
      </w:r>
    </w:p>
    <w:p>
      <w:pPr/>
      <w:r>
        <w:rPr/>
        <w:t xml:space="preserve">Fonction du procédé : renforcement des structures anciennes dont l’acier est dégradé, augmenter la résistance d’une structure, renfort de poutres, renfort de voiles, renfort de plancher, …</w:t>
      </w:r>
    </w:p>
    <w:p>
      <w:pPr/>
      <w:r>
        <w:rPr/>
        <w:t xml:space="preserve">Les milieux ambiants de type atmosphère agressive, immersion ou  support humide ne sont pas visés . </w:t>
      </w:r>
    </w:p>
    <w:p>
      <w:pPr/>
      <w:r>
        <w:rPr/>
        <w:t xml:space="preserve">Restriction d’emploi : supports pollués, milieux chimiques fortement agressifs, supports ruisselants, toutes fixations qui perceront les renforts, utilisation en situation sismique, sollicitations donnant lieu à des phénomènes de fatigue, renforcement en torsion, renforcement en poinçonnement, renforcement des suspentes, renforcement à l’ELS (flèche et ouverture de fissures).</w:t>
      </w:r>
    </w:p>
    <w:p>
      <w:pPr/>
      <w:r>
        <w:rPr/>
        <w:t xml:space="preserve">Pour la mise en œuvre d’un renfort composite en zone maritimes et sulfatées, des essais de compatibilité devront être fournis afin de valider l’utilisation du procédé dans ces zones (essais avant et après vieillissement afin de s’assurer de la bonne adhérence des procédés).</w:t>
      </w:r>
    </w:p>
    <w:p>
      <w:pPr/>
      <w:r>
        <w:rPr>
          <w:rStyle w:val="font_h1"/>
        </w:rPr>
        <w:t xml:space="preserve">3. Matériaux</w:t>
      </w:r>
    </w:p>
    <w:p>
      <w:pPr>
        <w:ind w:left="720" w:right="0"/>
      </w:pPr>
      <w:r>
        <w:rPr>
          <w:rStyle w:val="font_h2"/>
        </w:rPr>
        <w:t xml:space="preserve">3.1. Caractéristiques de la colle/base</w:t>
      </w:r>
    </w:p>
    <w:p>
      <w:pPr/>
      <w:r>
        <w:rPr/>
        <w:t xml:space="preserve">Validé par le Groupe Spécialisé le 17/06/2021</w:t>
      </w:r>
    </w:p>
    <w:p>
      <w:pPr/>
      <w:r>
        <w:rPr>
          <w:b/>
          <w:bCs/>
        </w:rPr>
        <w:t xml:space="preserve">Description</w:t>
      </w:r>
    </w:p>
    <w:p>
      <w:pPr>
        <w:pPr/>
        <w:numPr>
          <w:ilvl w:val="0"/>
          <w:numId w:val="12"/>
        </w:numPr>
      </w:pPr>
      <w:r>
        <w:rPr/>
        <w:t xml:space="preserve">Type de résine ;</w:t>
      </w:r>
    </w:p>
    <w:p>
      <w:pPr>
        <w:pPr/>
        <w:numPr>
          <w:ilvl w:val="0"/>
          <w:numId w:val="12"/>
        </w:numPr>
      </w:pPr>
      <w:r>
        <w:rPr/>
        <w:t xml:space="preserve">Description des composants de la colle : </w:t>
      </w:r>
    </w:p>
    <w:p>
      <w:pPr>
        <w:pPr/>
        <w:numPr>
          <w:ilvl w:val="1"/>
          <w:numId w:val="12"/>
        </w:numPr>
      </w:pPr>
      <w:r>
        <w:rPr/>
        <w:t xml:space="preserve">Base (aspect visuel, viscosité, densité, température de stockage) ;</w:t>
      </w:r>
    </w:p>
    <w:p>
      <w:pPr>
        <w:pPr/>
        <w:numPr>
          <w:ilvl w:val="1"/>
          <w:numId w:val="12"/>
        </w:numPr>
      </w:pPr>
      <w:r>
        <w:rPr/>
        <w:t xml:space="preserve">Durcisseur (viscosité, densité, température de stockage) ;</w:t>
      </w:r>
    </w:p>
    <w:p>
      <w:pPr>
        <w:pPr/>
        <w:numPr>
          <w:ilvl w:val="0"/>
          <w:numId w:val="12"/>
        </w:numPr>
      </w:pPr>
      <w:r>
        <w:rPr/>
        <w:t xml:space="preserve">Caractéristiques mécaniques (selon la norme NF EN 1504-4) ;</w:t>
      </w:r>
    </w:p>
    <w:p>
      <w:pPr>
        <w:pPr/>
        <w:numPr>
          <w:ilvl w:val="0"/>
          <w:numId w:val="12"/>
        </w:numPr>
      </w:pPr>
      <w:r>
        <w:rPr/>
        <w:t xml:space="preserve">Rapport d’emploi en poids et en volume « Base/Durcisseur » ;</w:t>
      </w:r>
    </w:p>
    <w:p>
      <w:pPr>
        <w:pPr/>
        <w:numPr>
          <w:ilvl w:val="0"/>
          <w:numId w:val="12"/>
        </w:numPr>
      </w:pPr>
      <w:r>
        <w:rPr/>
        <w:t xml:space="preserve">Durée Pratique d’Utilisation, dureté Shore de la colle/baseet coefficient de dilatation thermique) ;</w:t>
      </w:r>
    </w:p>
    <w:p>
      <w:pPr>
        <w:pPr/>
        <w:numPr>
          <w:ilvl w:val="0"/>
          <w:numId w:val="12"/>
        </w:numPr>
      </w:pPr>
      <w:r>
        <w:rPr/>
        <w:t xml:space="preserve">Consommation moyenne par couche de tissus (en fonction du type de tissus) ;</w:t>
      </w:r>
    </w:p>
    <w:p>
      <w:pPr>
        <w:pPr/>
        <w:numPr>
          <w:ilvl w:val="0"/>
          <w:numId w:val="12"/>
        </w:numPr>
      </w:pPr>
      <w:r>
        <w:rPr/>
        <w:t xml:space="preserve">Température de transition vitreuse Tg (Analyse calorimétrique suivant NF EN 12614) avec cure de 7 jours à une température de 21°C ± 2 et  sans cycle thermique préalable ;</w:t>
      </w:r>
    </w:p>
    <w:p>
      <w:pPr>
        <w:pPr/>
        <w:numPr>
          <w:ilvl w:val="0"/>
          <w:numId w:val="12"/>
        </w:numPr>
      </w:pPr>
      <w:r>
        <w:rPr/>
        <w:t xml:space="preserve">Conditionnement (kit, poids, …) ;</w:t>
      </w:r>
    </w:p>
    <w:p>
      <w:pPr>
        <w:pPr/>
        <w:numPr>
          <w:ilvl w:val="0"/>
          <w:numId w:val="12"/>
        </w:numPr>
      </w:pPr>
      <w:r>
        <w:rPr/>
        <w:t xml:space="preserve">Identification et marquage.</w:t>
      </w:r>
    </w:p>
    <w:p>
      <w:pPr>
        <w:ind w:left="720" w:right="0"/>
      </w:pPr>
      <w:r>
        <w:rPr>
          <w:rStyle w:val="font_h2"/>
        </w:rPr>
        <w:t xml:space="preserve">3.2. Caractéristiques de la plaque / plat composite</w:t>
      </w:r>
    </w:p>
    <w:p>
      <w:pPr/>
      <w:r>
        <w:rPr/>
        <w:t xml:space="preserve">Validé par le Groupe Spécialisé le 17/06/2021</w:t>
      </w:r>
    </w:p>
    <w:p>
      <w:pPr/>
      <w:r>
        <w:rPr>
          <w:b/>
          <w:bCs/>
        </w:rPr>
        <w:t xml:space="preserve">Description</w:t>
      </w:r>
    </w:p>
    <w:p>
      <w:pPr>
        <w:pPr/>
        <w:numPr>
          <w:ilvl w:val="0"/>
          <w:numId w:val="13"/>
        </w:numPr>
      </w:pPr>
      <w:r>
        <w:rPr/>
        <w:t xml:space="preserve">Composition du composite (type de résine, % de résine, quantité de colle au m², épaisseur nominale) ;</w:t>
      </w:r>
    </w:p>
    <w:p>
      <w:pPr>
        <w:pPr/>
        <w:numPr>
          <w:ilvl w:val="0"/>
          <w:numId w:val="13"/>
        </w:numPr>
      </w:pPr>
      <w:r>
        <w:rPr/>
        <w:t xml:space="preserve">Caractéristiques mécaniques du composite pour chaque résine visée (résistance moyenne en traction à la rupture, résistance caractéristique en traction à la rupture fractile 5%, module d’élasticité en traction, allongement à la rupture, résistance de calcul en traction à l’ELU, résistance de calcul en traction à l’ELS,) selon les recommandations AFGC 2011.</w:t>
      </w:r>
    </w:p>
    <w:p>
      <w:pPr>
        <w:ind w:left="720" w:right="0"/>
      </w:pPr>
      <w:r>
        <w:rPr>
          <w:rStyle w:val="font_h2"/>
        </w:rPr>
        <w:t xml:space="preserve">3.3. Caractéristiques de l’interface composite/support béton</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l’Avis Technique vise uniquement le cerclage des éléments)</w:t>
      </w:r>
    </w:p>
    <w:p>
      <w:pPr>
        <w:pPr/>
        <w:numPr>
          <w:ilvl w:val="0"/>
          <w:numId w:val="14"/>
        </w:numPr>
      </w:pPr>
      <w:r>
        <w:rPr/>
        <w:t xml:space="preserve">Longueur d’ancrage expérimentale lanc,exp ;</w:t>
      </w:r>
    </w:p>
    <w:p>
      <w:pPr>
        <w:pPr/>
        <w:numPr>
          <w:ilvl w:val="0"/>
          <w:numId w:val="14"/>
        </w:numPr>
      </w:pPr>
      <w:r>
        <w:rPr/>
        <w:t xml:space="preserve">Loi de comportement en cisaillement ;</w:t>
      </w:r>
    </w:p>
    <w:p>
      <w:pPr>
        <w:pPr/>
        <w:numPr>
          <w:ilvl w:val="0"/>
          <w:numId w:val="14"/>
        </w:numPr>
      </w:pPr>
      <w:r>
        <w:rPr/>
        <w:t xml:space="preserve">Résistance de calcul au cisaillement (ELU/ELS) ;</w:t>
      </w:r>
    </w:p>
    <w:p>
      <w:pPr>
        <w:pPr/>
        <w:numPr>
          <w:ilvl w:val="0"/>
          <w:numId w:val="14"/>
        </w:numPr>
      </w:pPr>
      <w:r>
        <w:rPr/>
        <w:t xml:space="preserve">Résistance par adhérence en traction directe.</w:t>
      </w:r>
    </w:p>
    <w:p>
      <w:pPr>
        <w:ind w:left="720" w:right="0"/>
      </w:pPr>
      <w:r>
        <w:rPr>
          <w:rStyle w:val="font_h2"/>
        </w:rPr>
        <w:t xml:space="preserve">3.4. Caractéristiques de l’interface composite/composite</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le recouvrement des composites n’est pas visé).</w:t>
      </w:r>
    </w:p>
    <w:p>
      <w:pPr>
        <w:pPr/>
        <w:numPr>
          <w:ilvl w:val="0"/>
          <w:numId w:val="15"/>
        </w:numPr>
      </w:pPr>
      <w:r>
        <w:rPr/>
        <w:t xml:space="preserve">Résistance de calcul en flexion (ELU/ELS)</w:t>
      </w:r>
    </w:p>
    <w:p>
      <w:pPr>
        <w:pPr/>
        <w:numPr>
          <w:ilvl w:val="0"/>
          <w:numId w:val="15"/>
        </w:numPr>
      </w:pPr>
      <w:r>
        <w:rPr/>
        <w:t xml:space="preserve">Résistance de calcul au cisaillement (ELU/ELS) ;</w:t>
      </w:r>
    </w:p>
    <w:p>
      <w:pPr>
        <w:pPr/>
        <w:numPr>
          <w:ilvl w:val="0"/>
          <w:numId w:val="15"/>
        </w:numPr>
      </w:pPr>
      <w:r>
        <w:rPr/>
        <w:t xml:space="preserve">Longueur de recouvrement entre composites.</w:t>
      </w:r>
    </w:p>
    <w:p>
      <w:pPr>
        <w:ind w:left="720" w:right="0"/>
      </w:pPr>
      <w:r>
        <w:rPr>
          <w:rStyle w:val="font_h2"/>
        </w:rPr>
        <w:t xml:space="preserve">3.5. Caractéristiques des dispositifs d’ancrage</w:t>
      </w:r>
    </w:p>
    <w:p>
      <w:pPr/>
      <w:r>
        <w:rPr/>
        <w:t xml:space="preserve">Validé par le Groupe Spécialisé le 17/06/2021</w:t>
      </w:r>
    </w:p>
    <w:p>
      <w:pPr/>
      <w:r>
        <w:rPr>
          <w:b/>
          <w:bCs/>
        </w:rPr>
        <w:t xml:space="preserve">Description</w:t>
      </w:r>
    </w:p>
    <w:p>
      <w:pPr>
        <w:pPr/>
        <w:numPr>
          <w:ilvl w:val="0"/>
          <w:numId w:val="16"/>
        </w:numPr>
      </w:pPr>
      <w:r>
        <w:rPr/>
        <w:t xml:space="preserve">Détail de la composition du système d’ancrage (mèches, profilés métalliques, caractéristiques géométriques, …) ;</w:t>
      </w:r>
    </w:p>
    <w:p>
      <w:pPr>
        <w:pPr/>
        <w:numPr>
          <w:ilvl w:val="0"/>
          <w:numId w:val="16"/>
        </w:numPr>
      </w:pPr>
      <w:r>
        <w:rPr/>
        <w:t xml:space="preserve">Caractéristiques mécaniques du système d’ancrage (résistance caractéristique à la traction directe, résistance caractéristique à la traction d'une mèche déviée, résistance caractéristique de l’interface composite/dispositif d’ancrage, …) qualification expérimentale suivant recommandation AFGC 2011 (le cas échéant).</w:t>
      </w:r>
    </w:p>
    <w:p>
      <w:pPr>
        <w:ind w:left="720" w:right="0"/>
      </w:pPr>
      <w:r>
        <w:rPr>
          <w:rStyle w:val="font_h2"/>
        </w:rPr>
        <w:t xml:space="preserve">3.6. Caractéristiques des produits complémentaires</w:t>
      </w:r>
    </w:p>
    <w:p>
      <w:pPr/>
      <w:r>
        <w:rPr/>
        <w:t xml:space="preserve">Validé par le Groupe Spécialisé le 17/06/2021</w:t>
      </w:r>
    </w:p>
    <w:p>
      <w:pPr/>
      <w:r>
        <w:rPr>
          <w:b/>
          <w:bCs/>
        </w:rPr>
        <w:t xml:space="preserve">Description</w:t>
      </w:r>
    </w:p>
    <w:p>
      <w:pPr/>
      <w:r>
        <w:rPr/>
        <w:t xml:space="preserve">Caractéristiques des produits de réparations (masse volumique, délai de durcissement, température d’application, humidité d’application du support, épaisseur de mise en œuvre, etc…).</w:t>
      </w:r>
    </w:p>
    <w:p>
      <w:pPr/>
      <w:r>
        <w:rPr/>
        <w:t xml:space="preserve">Afin de vérifier la bonne mise en œuvre d’un renfort composite sur un produit de traitement complémentaire du support, des essais de pastillages doivent être réalisé.</w:t>
      </w:r>
    </w:p>
    <w:p>
      <w:pPr/>
      <w:r>
        <w:rPr>
          <w:b/>
          <w:bCs/>
        </w:rPr>
        <w:t xml:space="preserve">Justification</w:t>
      </w:r>
    </w:p>
    <w:p>
      <w:pPr/>
      <w:r>
        <w:rPr/>
        <w:t xml:space="preserve">Seuls les produits de traitement conformes à une norme harmonisée peuvent être ajoutés au Dossier Technique.</w:t>
      </w:r>
    </w:p>
    <w:p>
      <w:pPr/>
      <w:r>
        <w:rPr>
          <w:rStyle w:val="font_h1"/>
        </w:rPr>
        <w:t xml:space="preserve">4. Fabrication – contrôles en usine</w:t>
      </w:r>
    </w:p>
    <w:p>
      <w:pPr>
        <w:ind w:left="720" w:right="0"/>
      </w:pPr>
      <w:r>
        <w:rPr>
          <w:rStyle w:val="font_h2"/>
        </w:rPr>
        <w:t xml:space="preserve">4.1. Mode de fabrication</w:t>
      </w:r>
    </w:p>
    <w:p>
      <w:pPr/>
      <w:r>
        <w:rPr/>
        <w:t xml:space="preserve">Validé par le Groupe Spécialisé le 20/11/2018</w:t>
      </w:r>
    </w:p>
    <w:p>
      <w:pPr/>
      <w:r>
        <w:rPr>
          <w:b/>
          <w:bCs/>
        </w:rPr>
        <w:t xml:space="preserve">Description</w:t>
      </w:r>
    </w:p>
    <w:p>
      <w:pPr/>
      <w:r>
        <w:rPr/>
        <w:t xml:space="preserve">Description du processus de fabrication des composants.</w:t>
      </w:r>
    </w:p>
    <w:p>
      <w:pPr>
        <w:ind w:left="720" w:right="0"/>
      </w:pPr>
      <w:r>
        <w:rPr>
          <w:rStyle w:val="font_h2"/>
        </w:rPr>
        <w:t xml:space="preserve">4.2. Contrôles en usine</w:t>
      </w:r>
    </w:p>
    <w:p>
      <w:pPr/>
      <w:r>
        <w:rPr/>
        <w:t xml:space="preserve">Validé par le Groupe Spécialisé le 20/11/2018</w:t>
      </w:r>
    </w:p>
    <w:p>
      <w:pPr/>
      <w:r>
        <w:rPr>
          <w:b/>
          <w:bCs/>
        </w:rPr>
        <w:t xml:space="preserve">Description</w:t>
      </w:r>
    </w:p>
    <w:p>
      <w:pPr/>
      <w:r>
        <w:rPr/>
        <w:t xml:space="preserve">Nature et fréquence des contrôles. Identification précise des fabricants de chaque composant du procédé.</w:t>
      </w:r>
    </w:p>
    <w:p>
      <w:pPr/>
      <w:r>
        <w:rPr/>
        <w:t xml:space="preserve">Etant donné les difficultés couramment rencontrées sur la traçabilité et la justification de la constance des performances des composants (fibres, tissus, plats, résine, …) lors du traitement des demandes d’Avis Technique sur cette famille de procédé, le GS demande au titulaire des modalités de suivi externe des performances des matériaux composites (résistance mécanique des fibres et des tissus, résistance mécanique des composites, performances de la résine (Tg, caractéristiques mécaniques, …)).</w:t>
      </w:r>
    </w:p>
    <w:p>
      <w:pPr/>
      <w:r>
        <w:rPr>
          <w:b/>
          <w:bCs/>
        </w:rPr>
        <w:t xml:space="preserve">Justification</w:t>
      </w:r>
    </w:p>
    <w:p>
      <w:pPr/>
      <w:r>
        <w:rPr/>
        <w:t xml:space="preserve">Fournir les CPU et registres de contrôle des 6 derniers mois (internes et externes).</w:t>
      </w:r>
    </w:p>
    <w:p>
      <w:pPr/>
      <w:r>
        <w:rPr>
          <w:rStyle w:val="font_h1"/>
        </w:rPr>
        <w:t xml:space="preserve">5. Stabilité de l’ouvrage</w:t>
      </w:r>
    </w:p>
    <w:p>
      <w:pPr/>
      <w:r>
        <w:rPr/>
        <w:t xml:space="preserve">Validé par le Groupe Spécialisé le 20/11/2018</w:t>
      </w:r>
    </w:p>
    <w:p>
      <w:pPr/>
      <w:r>
        <w:rPr>
          <w:b/>
          <w:bCs/>
        </w:rPr>
        <w:t xml:space="preserve">Description</w:t>
      </w:r>
    </w:p>
    <w:p>
      <w:pPr/>
      <w:r>
        <w:rPr/>
        <w:t xml:space="preserve">Détailler les méthodes de dimensionnement suivant la nature de l’ouvrage (béton armé, béton précontraint), le type de sollicitation visé et le type de renfort (lamelles).</w:t>
      </w:r>
    </w:p>
    <w:p>
      <w:pPr>
        <w:pPr/>
        <w:numPr>
          <w:ilvl w:val="0"/>
          <w:numId w:val="17"/>
        </w:numPr>
      </w:pPr>
      <w:r>
        <w:rPr/>
        <w:t xml:space="preserve">Flexion (ELU, ELS, cisaillement de glissement de délaminage) ;</w:t>
      </w:r>
    </w:p>
    <w:p>
      <w:pPr>
        <w:pPr/>
        <w:numPr>
          <w:ilvl w:val="0"/>
          <w:numId w:val="17"/>
        </w:numPr>
      </w:pPr>
      <w:r>
        <w:rPr/>
        <w:t xml:space="preserve">Autres types de sollicitations si visés ;</w:t>
      </w:r>
    </w:p>
    <w:p>
      <w:pPr>
        <w:pPr/>
        <w:numPr>
          <w:ilvl w:val="0"/>
          <w:numId w:val="17"/>
        </w:numPr>
      </w:pPr>
      <w:r>
        <w:rPr/>
        <w:t xml:space="preserve">Dimensionnement des dispositifs d’ancrage spécifiques si visés.</w:t>
      </w:r>
    </w:p>
    <w:p>
      <w:pPr/>
      <w:r>
        <w:rPr>
          <w:b/>
          <w:bCs/>
        </w:rPr>
        <w:t xml:space="preserve">Justification</w:t>
      </w:r>
    </w:p>
    <w:p>
      <w:pPr/>
      <w:r>
        <w:rPr/>
        <w:t xml:space="preserve">Une note de calcul est attendue.</w:t>
      </w:r>
    </w:p>
    <w:p>
      <w:pPr/>
      <w:r>
        <w:rPr>
          <w:rStyle w:val="font_h1"/>
        </w:rPr>
        <w:t xml:space="preserve">6. Dimensionnement</w:t>
      </w:r>
    </w:p>
    <w:p>
      <w:pPr>
        <w:ind w:left="720" w:right="0"/>
      </w:pPr>
      <w:r>
        <w:rPr>
          <w:rStyle w:val="font_h2"/>
        </w:rPr>
        <w:t xml:space="preserve">6.1. Général</w:t>
      </w:r>
    </w:p>
    <w:p>
      <w:pPr/>
      <w:r>
        <w:rPr/>
        <w:t xml:space="preserve">Validé par le Groupe Spécialisé le 17/06/2021</w:t>
      </w:r>
    </w:p>
    <w:p>
      <w:pPr/>
      <w:r>
        <w:rPr>
          <w:b/>
          <w:bCs/>
        </w:rPr>
        <w:t xml:space="preserve">Description</w:t>
      </w:r>
    </w:p>
    <w:p>
      <w:pPr/>
      <w:r>
        <w:rPr/>
        <w:t xml:space="preserve">Modélisation des matériaux et hypothèses de calcul (loi de comportement pour le calcul : traction du composite, interface composite/support et interface composite/composite).</w:t>
      </w:r>
    </w:p>
    <w:p>
      <w:pPr/>
      <w:r>
        <w:rPr>
          <w:b/>
          <w:bCs/>
        </w:rPr>
        <w:t xml:space="preserve">Justification</w:t>
      </w:r>
    </w:p>
    <w:p>
      <w:pPr/>
      <w:r>
        <w:rPr/>
        <w:t xml:space="preserve">Justification expérimentale :</w:t>
      </w:r>
    </w:p>
    <w:p>
      <w:pPr>
        <w:pPr/>
        <w:numPr>
          <w:ilvl w:val="0"/>
          <w:numId w:val="18"/>
        </w:numPr>
      </w:pPr>
      <w:r>
        <w:rPr/>
        <w:t xml:space="preserve">Interface composite/composite (lamelles en recouvrement) : qualification expérimentale suivant recommandations AFGC de Février 2011 – élément obligatoire, sauf si le recouvrement des composites n’est pas visé</w:t>
      </w:r>
    </w:p>
    <w:p>
      <w:pPr>
        <w:pPr/>
        <w:numPr>
          <w:ilvl w:val="1"/>
          <w:numId w:val="18"/>
        </w:numPr>
      </w:pPr>
      <w:r>
        <w:rPr/>
        <w:t xml:space="preserve">Tenue au délaminage en flexion ;</w:t>
      </w:r>
    </w:p>
    <w:p>
      <w:pPr>
        <w:pPr/>
        <w:numPr>
          <w:ilvl w:val="1"/>
          <w:numId w:val="18"/>
        </w:numPr>
      </w:pPr>
      <w:r>
        <w:rPr/>
        <w:t xml:space="preserve">Tenue au délaminage par cisaillement.</w:t>
      </w:r>
    </w:p>
    <w:p>
      <w:pPr>
        <w:pPr/>
        <w:numPr>
          <w:ilvl w:val="0"/>
          <w:numId w:val="18"/>
        </w:numPr>
      </w:pPr>
      <w:r>
        <w:rPr/>
        <w:t xml:space="preserve">Interface composite/support : qualification expérimentale suivant recommandations AFGC de Février 2011 – élément obligatoire, sauf si l’Avis Technique vise uniquement le cerclage des éléments</w:t>
      </w:r>
    </w:p>
    <w:p>
      <w:pPr>
        <w:pPr/>
        <w:numPr>
          <w:ilvl w:val="1"/>
          <w:numId w:val="18"/>
        </w:numPr>
      </w:pPr>
      <w:r>
        <w:rPr/>
        <w:t xml:space="preserve">Longueur d’ancrage expérimentale lanc,exp ;</w:t>
      </w:r>
    </w:p>
    <w:p>
      <w:pPr>
        <w:pPr/>
        <w:numPr>
          <w:ilvl w:val="1"/>
          <w:numId w:val="18"/>
        </w:numPr>
      </w:pPr>
      <w:r>
        <w:rPr/>
        <w:t xml:space="preserve">Loi de comportement en cisaillement ;</w:t>
      </w:r>
    </w:p>
    <w:p>
      <w:pPr>
        <w:pPr/>
        <w:numPr>
          <w:ilvl w:val="1"/>
          <w:numId w:val="18"/>
        </w:numPr>
      </w:pPr>
      <w:r>
        <w:rPr/>
        <w:t xml:space="preserve">Résistance ultime de cisaillement τad,u (AFGC : Essai à double recouvrement ou essai à simple recouvrement) ;</w:t>
      </w:r>
    </w:p>
    <w:p>
      <w:pPr>
        <w:pPr/>
        <w:numPr>
          <w:ilvl w:val="1"/>
          <w:numId w:val="18"/>
        </w:numPr>
      </w:pPr>
      <w:r>
        <w:rPr/>
        <w:t xml:space="preserve">Résistance par adhérence en traction directe (Minimum : 1.5MPa) : adhérence sur support visé (béton sec, béton humide, en fonction du domaine d’emploi visé…).</w:t>
      </w:r>
    </w:p>
    <w:p>
      <w:pPr>
        <w:pPr/>
        <w:numPr>
          <w:ilvl w:val="0"/>
          <w:numId w:val="18"/>
        </w:numPr>
      </w:pPr>
      <w:r>
        <w:rPr/>
        <w:t xml:space="preserve">Interface composite/dispositifs d’ancrage (le cas échéant) : qualification expérimentale suivant recommandations AFGC de Février 2011</w:t>
      </w:r>
    </w:p>
    <w:p>
      <w:pPr>
        <w:pPr/>
        <w:numPr>
          <w:ilvl w:val="1"/>
          <w:numId w:val="18"/>
        </w:numPr>
      </w:pPr>
      <w:r>
        <w:rPr/>
        <w:t xml:space="preserve">Tenue au délaminage en flexion ;</w:t>
      </w:r>
    </w:p>
    <w:p>
      <w:pPr>
        <w:pPr/>
        <w:numPr>
          <w:ilvl w:val="1"/>
          <w:numId w:val="18"/>
        </w:numPr>
      </w:pPr>
      <w:r>
        <w:rPr/>
        <w:t xml:space="preserve">Tenue au délaminage par cisaillement.</w:t>
      </w:r>
    </w:p>
    <w:p>
      <w:pPr>
        <w:pPr/>
        <w:numPr>
          <w:ilvl w:val="0"/>
          <w:numId w:val="18"/>
        </w:numPr>
      </w:pPr>
      <w:r>
        <w:rPr/>
        <w:t xml:space="preserve">Dispositifs d’ancrage spécifiques : </w:t>
      </w:r>
    </w:p>
    <w:p>
      <w:pPr>
        <w:pPr/>
        <w:numPr>
          <w:ilvl w:val="1"/>
          <w:numId w:val="18"/>
        </w:numPr>
      </w:pPr>
      <w:r>
        <w:rPr/>
        <w:t xml:space="preserve">Détermination des performances mécaniques par qualifications expérimentales.</w:t>
      </w:r>
    </w:p>
    <w:p>
      <w:pPr>
        <w:pPr/>
        <w:numPr>
          <w:ilvl w:val="0"/>
          <w:numId w:val="18"/>
        </w:numPr>
      </w:pPr>
      <w:r>
        <w:rPr/>
        <w:t xml:space="preserve">Résine de collage des lamelles ou plats  : cf. §3.2</w:t>
      </w:r>
    </w:p>
    <w:p>
      <w:pPr>
        <w:pPr/>
        <w:numPr>
          <w:ilvl w:val="0"/>
          <w:numId w:val="18"/>
        </w:numPr>
      </w:pPr>
      <w:r>
        <w:rPr/>
        <w:t xml:space="preserve">Lamelles ou plats :</w:t>
      </w:r>
    </w:p>
    <w:p>
      <w:pPr>
        <w:pPr/>
        <w:numPr>
          <w:ilvl w:val="1"/>
          <w:numId w:val="18"/>
        </w:numPr>
      </w:pPr>
      <w:r>
        <w:rPr/>
        <w:t xml:space="preserve">Loi de comportement en traction (cf. §3.2) : qualification expérimentale suivant recommandations AFGC de Février 2011</w:t>
      </w:r>
    </w:p>
    <w:p>
      <w:pPr>
        <w:ind w:left="720" w:right="0"/>
      </w:pPr>
      <w:r>
        <w:rPr>
          <w:rStyle w:val="font_h2"/>
        </w:rPr>
        <w:t xml:space="preserve">6.2. Dimensionnement du renforcement en flexion des éléments en béton armé</w:t>
      </w:r>
    </w:p>
    <w:p>
      <w:pPr/>
      <w:r>
        <w:rPr/>
        <w:t xml:space="preserve">Validé par le Groupe Spécialisé le 20/11/2018</w:t>
      </w:r>
    </w:p>
    <w:p>
      <w:pPr/>
      <w:r>
        <w:rPr>
          <w:b/>
          <w:bCs/>
        </w:rPr>
        <w:t xml:space="preserve">Description</w:t>
      </w:r>
    </w:p>
    <w:p>
      <w:pPr>
        <w:pPr/>
        <w:numPr>
          <w:ilvl w:val="0"/>
          <w:numId w:val="19"/>
        </w:numPr>
      </w:pPr>
      <w:r>
        <w:rPr/>
        <w:t xml:space="preserve">Détail des règles de calcul utilisées ;</w:t>
      </w:r>
    </w:p>
    <w:p>
      <w:pPr>
        <w:pPr/>
        <w:numPr>
          <w:ilvl w:val="0"/>
          <w:numId w:val="19"/>
        </w:numPr>
      </w:pPr>
      <w:r>
        <w:rPr/>
        <w:t xml:space="preserve">Justification du renforcement à la flexion à l’ELU ;</w:t>
      </w:r>
    </w:p>
    <w:p>
      <w:pPr>
        <w:pPr/>
        <w:numPr>
          <w:ilvl w:val="0"/>
          <w:numId w:val="19"/>
        </w:numPr>
      </w:pPr>
      <w:r>
        <w:rPr/>
        <w:t xml:space="preserve">Justification du renforcement à la flexion à l’ELS ;</w:t>
      </w:r>
    </w:p>
    <w:p>
      <w:pPr>
        <w:pPr/>
        <w:numPr>
          <w:ilvl w:val="0"/>
          <w:numId w:val="19"/>
        </w:numPr>
      </w:pPr>
      <w:r>
        <w:rPr/>
        <w:t xml:space="preserve">Vérification de la longueur d’ancrage du renforcement et du dimensionnement des dispositifs d’ancrage spécifiques le cas échéant ;</w:t>
      </w:r>
    </w:p>
    <w:p>
      <w:pPr>
        <w:pPr/>
        <w:numPr>
          <w:ilvl w:val="0"/>
          <w:numId w:val="19"/>
        </w:numPr>
      </w:pPr>
      <w:r>
        <w:rPr/>
        <w:t xml:space="preserve">Vérification de la contrainte de glissement à l’interface composite/béton.Les hypothèses de calcul peuvent être justifiées selon les recommandations AFGC de 2011 ou justification du niveau de sécurité de la méthode de calcul adoptée (en référence au niveau de sécurité conféré par les recommandations AFCG de 2011).</w:t>
      </w:r>
    </w:p>
    <w:p>
      <w:pPr/>
      <w:r>
        <w:rPr>
          <w:b/>
          <w:bCs/>
        </w:rPr>
        <w:t xml:space="preserve">Justification</w:t>
      </w:r>
    </w:p>
    <w:p>
      <w:pPr/>
      <w:r>
        <w:rPr/>
        <w:t xml:space="preserve">Note de calcul attendue.</w:t>
      </w:r>
    </w:p>
    <w:p>
      <w:pPr>
        <w:ind w:left="720" w:right="0"/>
      </w:pPr>
      <w:r>
        <w:rPr>
          <w:rStyle w:val="font_h2"/>
        </w:rPr>
        <w:t xml:space="preserve">6.3. Dimensionnement du renforcement en flexion des éléments en béton précontraint</w:t>
      </w:r>
    </w:p>
    <w:p>
      <w:pPr/>
      <w:r>
        <w:rPr/>
        <w:t xml:space="preserve">Validé par le Groupe Spécialisé le 20/11/2018</w:t>
      </w:r>
    </w:p>
    <w:p>
      <w:pPr/>
      <w:r>
        <w:rPr>
          <w:b/>
          <w:bCs/>
        </w:rPr>
        <w:t xml:space="preserve">Description</w:t>
      </w:r>
    </w:p>
    <w:p>
      <w:pPr>
        <w:pPr/>
        <w:numPr>
          <w:ilvl w:val="0"/>
          <w:numId w:val="20"/>
        </w:numPr>
      </w:pPr>
      <w:r>
        <w:rPr/>
        <w:t xml:space="preserve">Détail des règles de calcul utilisées ;</w:t>
      </w:r>
    </w:p>
    <w:p>
      <w:pPr>
        <w:pPr/>
        <w:numPr>
          <w:ilvl w:val="0"/>
          <w:numId w:val="20"/>
        </w:numPr>
      </w:pPr>
      <w:r>
        <w:rPr/>
        <w:t xml:space="preserve">Justification du renforcement à la flexion à l’ELU ;</w:t>
      </w:r>
    </w:p>
    <w:p>
      <w:pPr>
        <w:pPr/>
        <w:numPr>
          <w:ilvl w:val="0"/>
          <w:numId w:val="20"/>
        </w:numPr>
      </w:pPr>
      <w:r>
        <w:rPr/>
        <w:t xml:space="preserve">Justification du renforcement à la flexion à l’ELS ;</w:t>
      </w:r>
    </w:p>
    <w:p>
      <w:pPr>
        <w:pPr/>
        <w:numPr>
          <w:ilvl w:val="0"/>
          <w:numId w:val="20"/>
        </w:numPr>
      </w:pPr>
      <w:r>
        <w:rPr/>
        <w:t xml:space="preserve">Vérification de la longueur d’ancrage du renforcement et du dimensionnement des dispositifs d’ancrage spécifiques le cas échéant ;</w:t>
      </w:r>
    </w:p>
    <w:p>
      <w:pPr>
        <w:pPr/>
        <w:numPr>
          <w:ilvl w:val="0"/>
          <w:numId w:val="20"/>
        </w:numPr>
      </w:pPr>
      <w:r>
        <w:rPr/>
        <w:t xml:space="preserve">Vérification de la contrainte de glissement à l’interface composite/béton.</w:t>
      </w:r>
    </w:p>
    <w:p>
      <w:pPr/>
      <w:r>
        <w:rPr>
          <w:b/>
          <w:bCs/>
        </w:rPr>
        <w:t xml:space="preserve">Justification</w:t>
      </w:r>
    </w:p>
    <w:p>
      <w:pPr/>
      <w:r>
        <w:rPr/>
        <w:t xml:space="preserve">Note de calcul attendue.</w:t>
      </w:r>
    </w:p>
    <w:p>
      <w:pPr/>
      <w:r>
        <w:rPr>
          <w:rStyle w:val="font_h1"/>
        </w:rPr>
        <w:t xml:space="preserve">7. Dispositions constructives générales, particulières</w:t>
      </w:r>
    </w:p>
    <w:p>
      <w:pPr>
        <w:ind w:left="720" w:right="0"/>
      </w:pPr>
      <w:r>
        <w:rPr>
          <w:rStyle w:val="font_h2"/>
        </w:rPr>
        <w:t xml:space="preserve">7.1. Description des règles constructives générales</w:t>
      </w:r>
    </w:p>
    <w:p>
      <w:pPr/>
      <w:r>
        <w:rPr/>
        <w:t xml:space="preserve">Validé par le Groupe Spécialisé le 20/11/2018</w:t>
      </w:r>
    </w:p>
    <w:p>
      <w:pPr/>
      <w:r>
        <w:rPr>
          <w:b/>
          <w:bCs/>
        </w:rPr>
        <w:t xml:space="preserve">Description</w:t>
      </w:r>
    </w:p>
    <w:p>
      <w:pPr>
        <w:pPr/>
        <w:numPr>
          <w:ilvl w:val="0"/>
          <w:numId w:val="21"/>
        </w:numPr>
      </w:pPr>
      <w:r>
        <w:rPr/>
        <w:t xml:space="preserve">Superposition et recouvrement des renforts ;</w:t>
      </w:r>
    </w:p>
    <w:p>
      <w:pPr>
        <w:pPr/>
        <w:numPr>
          <w:ilvl w:val="0"/>
          <w:numId w:val="21"/>
        </w:numPr>
      </w:pPr>
      <w:r>
        <w:rPr/>
        <w:t xml:space="preserve">Conditions d’ancrage des renforts ;  </w:t>
      </w:r>
    </w:p>
    <w:p>
      <w:pPr>
        <w:pPr/>
        <w:numPr>
          <w:ilvl w:val="0"/>
          <w:numId w:val="21"/>
        </w:numPr>
      </w:pPr>
      <w:r>
        <w:rPr/>
        <w:t xml:space="preserve">Courbures…</w:t>
      </w:r>
    </w:p>
    <w:p>
      <w:pPr>
        <w:ind w:left="720" w:right="0"/>
      </w:pPr>
      <w:r>
        <w:rPr>
          <w:rStyle w:val="font_h2"/>
        </w:rPr>
        <w:t xml:space="preserve">7.2. Descriptions des règles constructives spécifiques</w:t>
      </w:r>
    </w:p>
    <w:p>
      <w:pPr/>
      <w:r>
        <w:rPr/>
        <w:t xml:space="preserve">Validé par le Groupe Spécialisé le 20/11/2018</w:t>
      </w:r>
    </w:p>
    <w:p>
      <w:pPr/>
      <w:r>
        <w:rPr>
          <w:b/>
          <w:bCs/>
        </w:rPr>
        <w:t xml:space="preserve">Description</w:t>
      </w:r>
    </w:p>
    <w:p>
      <w:pPr>
        <w:pPr/>
        <w:numPr>
          <w:ilvl w:val="0"/>
          <w:numId w:val="22"/>
        </w:numPr>
      </w:pPr>
      <w:r>
        <w:rPr/>
        <w:t xml:space="preserve">Renforcement type de structure isostatique ; </w:t>
      </w:r>
    </w:p>
    <w:p>
      <w:pPr>
        <w:pPr/>
        <w:numPr>
          <w:ilvl w:val="0"/>
          <w:numId w:val="22"/>
        </w:numPr>
      </w:pPr>
      <w:r>
        <w:rPr/>
        <w:t xml:space="preserve">Renforcement type de structure hyperstatique ;</w:t>
      </w:r>
    </w:p>
    <w:p>
      <w:pPr>
        <w:pPr/>
        <w:numPr>
          <w:ilvl w:val="0"/>
          <w:numId w:val="22"/>
        </w:numPr>
      </w:pPr>
      <w:r>
        <w:rPr/>
        <w:t xml:space="preserve">Systèmes d’ancrage…</w:t>
      </w:r>
    </w:p>
    <w:p>
      <w:pPr/>
      <w:r>
        <w:rPr>
          <w:rStyle w:val="font_h1"/>
        </w:rPr>
        <w:t xml:space="preserve">8. Travaux préparatoires</w:t>
      </w:r>
    </w:p>
    <w:p>
      <w:pPr>
        <w:ind w:left="720" w:right="0"/>
      </w:pPr>
      <w:r>
        <w:rPr>
          <w:rStyle w:val="font_h2"/>
        </w:rPr>
        <w:t xml:space="preserve">8.1. Préparation du support</w:t>
      </w:r>
    </w:p>
    <w:p>
      <w:pPr>
        <w:ind w:left="720" w:right="0"/>
      </w:pPr>
      <w:r>
        <w:rPr>
          <w:rStyle w:val="font_h2"/>
        </w:rPr>
        <w:t xml:space="preserve">8.2. Réparation du support</w:t>
      </w:r>
    </w:p>
    <w:p>
      <w:pPr>
        <w:ind w:left="720" w:right="0"/>
      </w:pPr>
      <w:r>
        <w:rPr>
          <w:rStyle w:val="font_h2"/>
        </w:rPr>
        <w:t xml:space="preserve">8.3. Planéité du support</w:t>
      </w:r>
    </w:p>
    <w:p>
      <w:pPr>
        <w:ind w:left="720" w:right="0"/>
      </w:pPr>
      <w:r>
        <w:rPr>
          <w:rStyle w:val="font_h2"/>
        </w:rPr>
        <w:t xml:space="preserve">8.4. Réception du support</w:t>
      </w:r>
    </w:p>
    <w:p>
      <w:pPr/>
      <w:r>
        <w:rPr>
          <w:rStyle w:val="font_h1"/>
        </w:rPr>
        <w:t xml:space="preserve">9. Mise en œuvre</w:t>
      </w:r>
    </w:p>
    <w:p>
      <w:pPr>
        <w:ind w:left="720" w:right="0"/>
      </w:pPr>
      <w:r>
        <w:rPr>
          <w:rStyle w:val="font_h2"/>
        </w:rPr>
        <w:t xml:space="preserve">9.1. Conditions climatiques d’application</w:t>
      </w:r>
    </w:p>
    <w:p>
      <w:pPr/>
      <w:r>
        <w:rPr/>
        <w:t xml:space="preserve">Validé par le Groupe Spécialisé le 20/11/2018</w:t>
      </w:r>
    </w:p>
    <w:p>
      <w:pPr/>
      <w:r>
        <w:rPr>
          <w:b/>
          <w:bCs/>
        </w:rPr>
        <w:t xml:space="preserve">Description</w:t>
      </w:r>
    </w:p>
    <w:p>
      <w:pPr/>
      <w:r>
        <w:rPr/>
        <w:t xml:space="preserve">Conditions climatiques d’environnement : température du support, température et hygrométrie de l’air ambiant, conditions de maintien de la température et de l’hygrométrie.</w:t>
      </w:r>
    </w:p>
    <w:p>
      <w:pPr>
        <w:ind w:left="720" w:right="0"/>
      </w:pPr>
      <w:r>
        <w:rPr>
          <w:rStyle w:val="font_h2"/>
        </w:rPr>
        <w:t xml:space="preserve">9.2. Mise en œuvre du procédé y compris les dispositifs d’ancrage particuliers le cas échéants</w:t>
      </w:r>
    </w:p>
    <w:p>
      <w:pPr/>
      <w:r>
        <w:rPr/>
        <w:t xml:space="preserve">Validé par le Groupe Spécialisé le 20/11/2018</w:t>
      </w:r>
    </w:p>
    <w:p>
      <w:pPr/>
      <w:r>
        <w:rPr>
          <w:b/>
          <w:bCs/>
        </w:rPr>
        <w:t xml:space="preserve">Description</w:t>
      </w:r>
    </w:p>
    <w:p>
      <w:pPr>
        <w:pPr/>
        <w:numPr>
          <w:ilvl w:val="0"/>
          <w:numId w:val="23"/>
        </w:numPr>
      </w:pPr>
      <w:r>
        <w:rPr/>
        <w:t xml:space="preserve">État de surface du support à atteindre avant collage (Méthodes de préparation et de traitement – ragréage, traitement des fissures, etc…) ;</w:t>
      </w:r>
    </w:p>
    <w:p>
      <w:pPr>
        <w:pPr/>
        <w:numPr>
          <w:ilvl w:val="0"/>
          <w:numId w:val="23"/>
        </w:numPr>
      </w:pPr>
      <w:r>
        <w:rPr/>
        <w:t xml:space="preserve">Description de la mise en œuvre (chronologie de pose suivant le type de renfort – lamelles/dispositifs d’ancrage particuliers ; délai maximum entre l’application des constituants (plis, mèches, etc…).</w:t>
      </w:r>
    </w:p>
    <w:p>
      <w:pPr>
        <w:ind w:left="720" w:right="0"/>
      </w:pPr>
      <w:r>
        <w:rPr>
          <w:rStyle w:val="font_h2"/>
        </w:rPr>
        <w:t xml:space="preserve">9.3. Contrôles à la mise en œuvre</w:t>
      </w:r>
    </w:p>
    <w:p>
      <w:pPr/>
      <w:r>
        <w:rPr/>
        <w:t xml:space="preserve">Validé par le Groupe Spécialisé le 20/11/2018</w:t>
      </w:r>
    </w:p>
    <w:p>
      <w:pPr/>
      <w:r>
        <w:rPr>
          <w:b/>
          <w:bCs/>
        </w:rPr>
        <w:t xml:space="preserve">Description</w:t>
      </w:r>
    </w:p>
    <w:p>
      <w:pPr>
        <w:pPr/>
        <w:numPr>
          <w:ilvl w:val="0"/>
          <w:numId w:val="24"/>
        </w:numPr>
      </w:pPr>
      <w:r>
        <w:rPr/>
        <w:t xml:space="preserve">Fiches d’autocontrôle (exemple de rapport de pastillage à fournir, etc…) ;</w:t>
      </w:r>
    </w:p>
    <w:p>
      <w:pPr>
        <w:pPr/>
        <w:numPr>
          <w:ilvl w:val="0"/>
          <w:numId w:val="24"/>
        </w:numPr>
      </w:pPr>
      <w:r>
        <w:rPr/>
        <w:t xml:space="preserve">Figures avec les détails constructifs, coupes et vues.</w:t>
      </w:r>
    </w:p>
    <w:p>
      <w:pPr/>
      <w:r>
        <w:rPr>
          <w:rStyle w:val="font_h1"/>
        </w:rPr>
        <w:t xml:space="preserve">10. Finition – Protection des procédés</w:t>
      </w:r>
    </w:p>
    <w:p>
      <w:pPr/>
      <w:r>
        <w:rPr/>
        <w:t xml:space="preserve">Validé par le Groupe Spécialisé le 20/11/2018</w:t>
      </w:r>
    </w:p>
    <w:p>
      <w:pPr/>
      <w:r>
        <w:rPr>
          <w:b/>
          <w:bCs/>
        </w:rPr>
        <w:t xml:space="preserve">Description</w:t>
      </w:r>
    </w:p>
    <w:p>
      <w:pPr/>
      <w:r>
        <w:rPr/>
        <w:t xml:space="preserve">Description des revêtements associés au procédé de renforcement et de leur fonction (protection mécanique, protection anti UV, …).</w:t>
      </w:r>
    </w:p>
    <w:p>
      <w:pPr/>
      <w:r>
        <w:rPr>
          <w:rStyle w:val="font_h1"/>
        </w:rPr>
        <w:t xml:space="preserve">11. Comportement au feu du procédé</w:t>
      </w:r>
    </w:p>
    <w:p>
      <w:pPr>
        <w:ind w:left="720" w:right="0"/>
      </w:pPr>
      <w:r>
        <w:rPr>
          <w:rStyle w:val="font_h2"/>
        </w:rPr>
        <w:t xml:space="preserve">11.1. Réaction au feu</w:t>
      </w:r>
    </w:p>
    <w:p>
      <w:pPr/>
      <w:r>
        <w:rPr/>
        <w:t xml:space="preserve">Validé par le Groupe Spécialisé le 20/11/2018</w:t>
      </w:r>
    </w:p>
    <w:p>
      <w:pPr/>
      <w:r>
        <w:rPr>
          <w:b/>
          <w:bCs/>
        </w:rPr>
        <w:t xml:space="preserve">Description</w:t>
      </w:r>
    </w:p>
    <w:p>
      <w:pPr/>
      <w:r>
        <w:rPr/>
        <w:t xml:space="preserve">PV de réaction au feu du procédé de renforcement (avec identification précise de la gamme de renfort). NOTA : en l’absence de PV de réaction au feu, les procédés sont classés F au sens des Euroclasses.</w:t>
      </w:r>
    </w:p>
    <w:p>
      <w:pPr/>
      <w:r>
        <w:rPr>
          <w:b/>
          <w:bCs/>
        </w:rPr>
        <w:t xml:space="preserve">Justification</w:t>
      </w:r>
    </w:p>
    <w:p>
      <w:pPr/>
      <w:r>
        <w:rPr/>
        <w:t xml:space="preserve">Fournir les PV correspondants.</w:t>
      </w:r>
    </w:p>
    <w:p>
      <w:pPr>
        <w:ind w:left="720" w:right="0"/>
      </w:pPr>
      <w:r>
        <w:rPr>
          <w:rStyle w:val="font_h2"/>
        </w:rPr>
        <w:t xml:space="preserve">11.2. Résistance au feu</w:t>
      </w:r>
    </w:p>
    <w:p>
      <w:pPr/>
      <w:r>
        <w:rPr/>
        <w:t xml:space="preserve">Validé par le Groupe Spécialisé le 20/11/2018</w:t>
      </w:r>
    </w:p>
    <w:p>
      <w:pPr/>
      <w:r>
        <w:rPr>
          <w:b/>
          <w:bCs/>
        </w:rPr>
        <w:t xml:space="preserve">Description</w:t>
      </w:r>
    </w:p>
    <w:p>
      <w:pPr/>
      <w:r>
        <w:rPr/>
        <w:t xml:space="preserve">En cas de protection au feu prévue par-dessus le renfort composite : PV de résistance au feu sur support identique réalisé par un laboratoire agréé.</w:t>
      </w:r>
    </w:p>
    <w:p>
      <w:pPr/>
      <w:r>
        <w:rPr>
          <w:b/>
          <w:bCs/>
        </w:rPr>
        <w:t xml:space="preserve">Justification</w:t>
      </w:r>
    </w:p>
    <w:p>
      <w:pPr/>
      <w:r>
        <w:rPr/>
        <w:t xml:space="preserve">Fournir les PV correspondants.</w:t>
      </w:r>
    </w:p>
    <w:p>
      <w:pPr/>
      <w:r>
        <w:rPr>
          <w:rStyle w:val="font_h1"/>
        </w:rPr>
        <w:t xml:space="preserve">12. Rôle des intervenants</w:t>
      </w:r>
    </w:p>
    <w:p>
      <w:pPr/>
      <w:r>
        <w:rPr/>
        <w:t xml:space="preserve">Validé par le Groupe Spécialisé le 20/11/2018</w:t>
      </w:r>
    </w:p>
    <w:p>
      <w:pPr/>
      <w:r>
        <w:rPr>
          <w:b/>
          <w:bCs/>
        </w:rPr>
        <w:t xml:space="preserve">Description</w:t>
      </w:r>
    </w:p>
    <w:p>
      <w:pPr/>
      <w:r>
        <w:rPr/>
        <w:t xml:space="preserve">Identification du rôle des différents intervenants : </w:t>
      </w:r>
    </w:p>
    <w:p>
      <w:pPr>
        <w:pPr/>
        <w:numPr>
          <w:ilvl w:val="0"/>
          <w:numId w:val="25"/>
        </w:numPr>
      </w:pPr>
      <w:r>
        <w:rPr/>
        <w:t xml:space="preserve">Fabrication ;</w:t>
      </w:r>
    </w:p>
    <w:p>
      <w:pPr>
        <w:pPr/>
        <w:numPr>
          <w:ilvl w:val="0"/>
          <w:numId w:val="25"/>
        </w:numPr>
      </w:pPr>
      <w:r>
        <w:rPr/>
        <w:t xml:space="preserve">Dimensionnement ;</w:t>
      </w:r>
    </w:p>
    <w:p>
      <w:pPr>
        <w:pPr/>
        <w:numPr>
          <w:ilvl w:val="0"/>
          <w:numId w:val="25"/>
        </w:numPr>
      </w:pPr>
      <w:r>
        <w:rPr/>
        <w:t xml:space="preserve">Mise en œuvre (formation des entreprises de pose) ;</w:t>
      </w:r>
    </w:p>
    <w:p>
      <w:pPr>
        <w:pPr/>
        <w:numPr>
          <w:ilvl w:val="0"/>
          <w:numId w:val="25"/>
        </w:numPr>
      </w:pPr>
      <w:r>
        <w:rPr/>
        <w:t xml:space="preserve">Assistance technique délivrée par le titulaire pour le dimensionnement et la mise en œuvre.</w:t>
      </w:r>
    </w:p>
    <w:p>
      <w:pPr/>
      <w:r>
        <w:rPr>
          <w:rStyle w:val="font_h1"/>
        </w:rPr>
        <w:t xml:space="preserve">13. Références</w:t>
      </w:r>
    </w:p>
    <w:p>
      <w:pPr/>
      <w:r>
        <w:rPr/>
        <w:t xml:space="preserve">Validé par le Groupe Spécialisé le 17/06/2021</w:t>
      </w:r>
    </w:p>
    <w:p>
      <w:pPr/>
      <w:r>
        <w:rPr>
          <w:b/>
          <w:bCs/>
        </w:rPr>
        <w:t xml:space="preserve">Description</w:t>
      </w:r>
    </w:p>
    <w:p>
      <w:pPr/>
      <w:r>
        <w:rPr/>
        <w:t xml:space="preserve">Fourniture d’une liste de référence pour la réalisation d’une enquête chantier (au moins un exemple de chantier de moins de 7 ans pour chaque élément). Pour chaque référence, il faut préciser :</w:t>
      </w:r>
    </w:p>
    <w:p>
      <w:pPr>
        <w:pPr/>
        <w:numPr>
          <w:ilvl w:val="0"/>
          <w:numId w:val="26"/>
        </w:numPr>
      </w:pPr>
      <w:r>
        <w:rPr/>
        <w:t xml:space="preserve">Le type de chantier ;</w:t>
      </w:r>
    </w:p>
    <w:p>
      <w:pPr>
        <w:pPr/>
        <w:numPr>
          <w:ilvl w:val="0"/>
          <w:numId w:val="26"/>
        </w:numPr>
      </w:pPr>
      <w:r>
        <w:rPr/>
        <w:t xml:space="preserve">Le lieu ;</w:t>
      </w:r>
    </w:p>
    <w:p>
      <w:pPr>
        <w:pPr/>
        <w:numPr>
          <w:ilvl w:val="0"/>
          <w:numId w:val="26"/>
        </w:numPr>
      </w:pPr>
      <w:r>
        <w:rPr/>
        <w:t xml:space="preserve">La date de mise en œuvre ;</w:t>
      </w:r>
    </w:p>
    <w:p>
      <w:pPr>
        <w:pPr/>
        <w:numPr>
          <w:ilvl w:val="0"/>
          <w:numId w:val="26"/>
        </w:numPr>
      </w:pPr>
      <w:r>
        <w:rPr/>
        <w:t xml:space="preserve">Le contrôleur technique s’il y en a eu un ;</w:t>
      </w:r>
    </w:p>
    <w:p>
      <w:pPr>
        <w:pPr/>
        <w:numPr>
          <w:ilvl w:val="0"/>
          <w:numId w:val="26"/>
        </w:numPr>
      </w:pPr>
      <w:r>
        <w:rPr/>
        <w:t xml:space="preserve">La surface de produit utilisée.</w:t>
      </w:r>
    </w:p>
    <w:p>
      <w:pPr/>
      <w:r>
        <w:rPr>
          <w:rStyle w:val="font_h1"/>
        </w:rPr>
        <w:t xml:space="preserve">14. Annexes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5D3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C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819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F5F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F94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1E4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266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7BB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67C2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040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46BD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AF8E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E88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851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2352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19FF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C6E9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C517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2026-01-16T14:40:56+01:00</dcterms:created>
  <dcterms:modified xsi:type="dcterms:W3CDTF">2026-01-16T14:40:56+01:00</dcterms:modified>
</cp:coreProperties>
</file>

<file path=docProps/custom.xml><?xml version="1.0" encoding="utf-8"?>
<Properties xmlns="http://schemas.openxmlformats.org/officeDocument/2006/custom-properties" xmlns:vt="http://schemas.openxmlformats.org/officeDocument/2006/docPropsVTypes"/>
</file>