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3.3 - Édité le 17/07/2026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3.3 « Structures tridimensionnelles, ouvrages de fondation et d’infrastructure »</w:t>
      </w:r>
    </w:p>
    <w:p>
      <w:pPr/>
      <w:r>
        <w:rPr>
          <w:rStyle w:val="font_default"/>
        </w:rPr>
        <w:t xml:space="preserve">Famille de produits ou procédés : </w:t>
      </w:r>
      <w:r>
        <w:rPr>
          <w:rStyle w:val="font_h3"/>
        </w:rPr>
        <w:t xml:space="preserve">Panneaux structuraux en bois contrecollé-croisé, utilisés en mur et plancher</w:t>
      </w:r>
    </w:p>
    <w:p>
      <w:pPr/>
      <w:r>
        <w:rPr>
          <w:rStyle w:val="font_h1"/>
        </w:rPr>
        <w:t xml:space="preserve">1. Principe</w:t>
      </w:r>
    </w:p>
    <w:p>
      <w:pPr/>
      <w:r>
        <w:rPr/>
        <w:t xml:space="preserve">Validé par le Groupe Spécialisé le 20/11/2018</w:t>
      </w:r>
    </w:p>
    <w:p>
      <w:pPr/>
      <w:r>
        <w:rPr>
          <w:b/>
          <w:bCs/>
        </w:rPr>
        <w:t xml:space="preserve">Description</w:t>
      </w:r>
    </w:p>
    <w:p>
      <w:pPr/>
      <w:r>
        <w:rPr/>
        <w:t xml:space="preserve">Description du panneau lamellé-croisé :</w:t>
      </w:r>
    </w:p>
    <w:p>
      <w:pPr>
        <w:pPr/>
        <w:numPr>
          <w:ilvl w:val="0"/>
          <w:numId w:val="9"/>
        </w:numPr>
      </w:pPr>
      <w:r>
        <w:rPr/>
        <w:t xml:space="preserve">Classe de résistance du bois utilisé ;</w:t>
      </w:r>
    </w:p>
    <w:p>
      <w:pPr>
        <w:pPr/>
        <w:numPr>
          <w:ilvl w:val="0"/>
          <w:numId w:val="9"/>
        </w:numPr>
      </w:pPr>
      <w:r>
        <w:rPr/>
        <w:t xml:space="preserve">Nombre de couche du panneau ;</w:t>
      </w:r>
    </w:p>
    <w:p>
      <w:pPr>
        <w:pPr/>
        <w:numPr>
          <w:ilvl w:val="0"/>
          <w:numId w:val="9"/>
        </w:numPr>
      </w:pPr>
      <w:r>
        <w:rPr/>
        <w:t xml:space="preserve">Dimensions min et max du panneau ;</w:t>
      </w:r>
    </w:p>
    <w:p>
      <w:pPr>
        <w:pPr/>
        <w:numPr>
          <w:ilvl w:val="0"/>
          <w:numId w:val="9"/>
        </w:numPr>
      </w:pPr>
      <w:r>
        <w:rPr/>
        <w:t xml:space="preserve">Type de collage réalisé.</w:t>
      </w:r>
    </w:p>
    <w:p>
      <w:pPr/>
      <w:r>
        <w:rPr>
          <w:rStyle w:val="font_h1"/>
        </w:rPr>
        <w:t xml:space="preserve">2. Domaine d'emploi</w:t>
      </w:r>
    </w:p>
    <w:p>
      <w:pPr/>
      <w:r>
        <w:rPr/>
        <w:t xml:space="preserve">Validé par le Groupe Spécialisé le 13/07/2022</w:t>
      </w:r>
    </w:p>
    <w:p>
      <w:pPr/>
      <w:r>
        <w:rPr>
          <w:b/>
          <w:bCs/>
        </w:rPr>
        <w:t xml:space="preserve">Description</w:t>
      </w:r>
    </w:p>
    <w:p>
      <w:pPr/>
      <w:r>
        <w:rPr/>
        <w:t xml:space="preserve">Domaine d'emploi du procédé :</w:t>
      </w:r>
    </w:p>
    <w:p>
      <w:pPr>
        <w:pPr/>
        <w:numPr>
          <w:ilvl w:val="0"/>
          <w:numId w:val="10"/>
        </w:numPr>
      </w:pPr>
      <w:r>
        <w:rPr/>
        <w:t xml:space="preserve">Fonction du procédé (murs, planchers, support de couverture et/ou support d'étanchéité) ;</w:t>
      </w:r>
    </w:p>
    <w:p>
      <w:pPr>
        <w:pPr/>
        <w:numPr>
          <w:ilvl w:val="0"/>
          <w:numId w:val="10"/>
        </w:numPr>
      </w:pPr>
      <w:r>
        <w:rPr/>
        <w:t xml:space="preserve">Destination du procédé (ERP, bâtiments à usage d'habitation, etc...) ;</w:t>
      </w:r>
    </w:p>
    <w:p>
      <w:pPr>
        <w:pPr/>
        <w:numPr>
          <w:ilvl w:val="0"/>
          <w:numId w:val="10"/>
        </w:numPr>
      </w:pPr>
      <w:r>
        <w:rPr/>
        <w:t xml:space="preserve">Classe de service visée par le procédé au sens de la norme NF EN 1995-1-1 ;</w:t>
      </w:r>
    </w:p>
    <w:p>
      <w:pPr>
        <w:pPr/>
        <w:numPr>
          <w:ilvl w:val="0"/>
          <w:numId w:val="10"/>
        </w:numPr>
      </w:pPr>
      <w:r>
        <w:rPr/>
        <w:t xml:space="preserve">Classe d'emploi visée par le procédé au sens de la norme NF EN 335 ;</w:t>
      </w:r>
    </w:p>
    <w:p>
      <w:pPr>
        <w:pPr/>
        <w:numPr>
          <w:ilvl w:val="0"/>
          <w:numId w:val="10"/>
        </w:numPr>
      </w:pPr>
      <w:r>
        <w:rPr/>
        <w:t xml:space="preserve">Zones sismiques visées au sens de l’arrêté du 22 octobre 2010 modifié (I, II, III,IV ou V)  ;</w:t>
      </w:r>
    </w:p>
    <w:p>
      <w:pPr>
        <w:pPr/>
        <w:numPr>
          <w:ilvl w:val="0"/>
          <w:numId w:val="10"/>
        </w:numPr>
      </w:pPr>
      <w:r>
        <w:rPr/>
        <w:t xml:space="preserve">Zone géographique visée : France européenne et/ou DROM-COM ;</w:t>
      </w:r>
    </w:p>
    <w:p>
      <w:pPr>
        <w:pPr/>
        <w:numPr>
          <w:ilvl w:val="0"/>
          <w:numId w:val="10"/>
        </w:numPr>
      </w:pPr>
      <w:r>
        <w:rPr/>
        <w:t xml:space="preserve">Limitation aux locaux à faible ou moyenne hygrométrie à l'exclusion des locaux à forte et très forte hygrométrie, c’est à dire ceux pour lesquels W/n &gt; 5g/m</w:t>
      </w:r>
      <w:r>
        <w:rPr>
          <w:vertAlign w:val="superscript"/>
        </w:rPr>
        <w:t xml:space="preserve">3</w:t>
      </w:r>
      <w:r>
        <w:rPr/>
        <w:t xml:space="preserve">, avec W = quantité de vapeur d’eau produite à l’intérieur du local par heure et n = taux horaire de renouvellement d’air.</w:t>
      </w:r>
    </w:p>
    <w:p>
      <w:pPr/>
      <w:r>
        <w:rPr/>
        <w:t xml:space="preserve">Les panneaux trois plis non collés à chants ne permettent pas d’assurer une étanchéité à l’air.</w:t>
      </w:r>
    </w:p>
    <w:p>
      <w:pPr/>
      <w:r>
        <w:rPr/>
        <w:t xml:space="preserve">Les ouvrages enterrés en panneaux CLT sont exclus du domaine d’emploi.</w:t>
      </w:r>
    </w:p>
    <w:p>
      <w:pPr/>
      <w:r>
        <w:rPr/>
        <w:t xml:space="preserve">L’utilisation des planchers bétons sur des murs CLT n'est pas visée dans le cadre des Avis Techniques des panneaux CLT.</w:t>
      </w:r>
    </w:p>
    <w:p>
      <w:pPr/>
      <w:r>
        <w:rPr/>
        <w:t xml:space="preserve">L’utilisation des panneaux CLT en plancher sur vide sanitaire est à exclure des zones infestées par les termites en l’absence de procédé de barrière anti-termite sous Avis Technique visant les planchers bois en vide-sanitaire.</w:t>
      </w:r>
    </w:p>
    <w:p>
      <w:pPr/>
      <w:r>
        <w:rPr/>
        <w:t xml:space="preserve">Si le procédé ne fait l'objet d'aucune référence chantier au-delà de R+3 et où le plancher haut du dernier niveau n'excède pas 18 m, l’utilisation en tant que mur porteur seul ou en tant que mur porteur et plancher associés devra être limitée aux bâtiments R+3 ou à 4 niveaux de surélévation dont la hauteur du plancher bas du niveau le plus haut n’excède pas 18 m. Dans le cas contraire l'utilisation sera limitée à la hauteur maximum des références chantier. Des justifications particulières pourront néanmoins être apportées afin de viser des ouvrages de hauteur plus élevée (note de calcul, PAQ chantier, etc...). L’utilisation des planchers seuls est admise pour les bâtiments R+7 dont la hauteur du plancher bas du niveau le plus haut n’excède pas 28 m sans justification particulière.</w:t>
      </w:r>
    </w:p>
    <w:p>
      <w:pPr/>
      <w:r>
        <w:rPr/>
        <w:t xml:space="preserve">La mixité entre différents procédés de murs en panneaux structuraux massifs bois est exclue du domaine d’emploi.</w:t>
      </w:r>
    </w:p>
    <w:p>
      <w:pPr/>
      <w:r>
        <w:rPr/>
        <w:t xml:space="preserve">Les éléments porteurs horizontaux compatibles avec les murs porteurs réalisés avec des éléments CLT sont a minima les suivants :</w:t>
      </w:r>
    </w:p>
    <w:p>
      <w:pPr>
        <w:pPr/>
        <w:numPr>
          <w:ilvl w:val="0"/>
          <w:numId w:val="11"/>
        </w:numPr>
      </w:pPr>
      <w:r>
        <w:rPr/>
        <w:t xml:space="preserve">Les planchers (ou toitures) réalisés avec les éléments CLT ; </w:t>
      </w:r>
    </w:p>
    <w:p>
      <w:pPr>
        <w:pPr/>
        <w:numPr>
          <w:ilvl w:val="0"/>
          <w:numId w:val="11"/>
        </w:numPr>
      </w:pPr>
      <w:r>
        <w:rPr/>
        <w:t xml:space="preserve">Les planchers mixtes bois-béton sous Avis Technique ; </w:t>
      </w:r>
    </w:p>
    <w:p>
      <w:pPr>
        <w:pPr/>
        <w:numPr>
          <w:ilvl w:val="0"/>
          <w:numId w:val="11"/>
        </w:numPr>
      </w:pPr>
      <w:r>
        <w:rPr/>
        <w:t xml:space="preserve">Les structures bois conformes aux NF DTU 31.1, NF DTU 31.2, NF DTU 31.3 ; </w:t>
      </w:r>
    </w:p>
    <w:p>
      <w:pPr>
        <w:pPr/>
        <w:numPr>
          <w:ilvl w:val="0"/>
          <w:numId w:val="11"/>
        </w:numPr>
      </w:pPr>
      <w:r>
        <w:rPr/>
        <w:t xml:space="preserve">Toute structure à éléments porteurs en bois ou à base de bois calculée selon la NF EN 1995-1-1 y compris incluant des porteurs métalliques calculés selon l’Eurocode 3;</w:t>
      </w:r>
    </w:p>
    <w:p>
      <w:pPr>
        <w:pPr/>
        <w:numPr>
          <w:ilvl w:val="0"/>
          <w:numId w:val="11"/>
        </w:numPr>
      </w:pPr>
      <w:r>
        <w:rPr/>
        <w:t xml:space="preserve">Plancher haut de sous-sol en béton.</w:t>
      </w:r>
    </w:p>
    <w:p>
      <w:pPr/>
      <w:r>
        <w:rPr/>
        <w:t xml:space="preserve">Les éléments porteurs verticaux compatibles avec les planchers réalisés avec des éléments CLT sont a minima les suivants :</w:t>
      </w:r>
    </w:p>
    <w:p>
      <w:pPr>
        <w:pPr/>
        <w:numPr>
          <w:ilvl w:val="0"/>
          <w:numId w:val="12"/>
        </w:numPr>
      </w:pPr>
      <w:r>
        <w:rPr/>
        <w:t xml:space="preserve">Les murs réalisés avec des éléments CLT ;</w:t>
      </w:r>
    </w:p>
    <w:p>
      <w:pPr>
        <w:pPr/>
        <w:numPr>
          <w:ilvl w:val="0"/>
          <w:numId w:val="12"/>
        </w:numPr>
      </w:pPr>
      <w:r>
        <w:rPr/>
        <w:t xml:space="preserve">Les murs en béton conformes au NF DTU 21, NF DTU 23.1 ; </w:t>
      </w:r>
    </w:p>
    <w:p>
      <w:pPr>
        <w:pPr/>
        <w:numPr>
          <w:ilvl w:val="0"/>
          <w:numId w:val="12"/>
        </w:numPr>
      </w:pPr>
      <w:r>
        <w:rPr/>
        <w:t xml:space="preserve">Les murs en maçonnerie de petits éléments conformes au NF DTU 20.1 ; </w:t>
      </w:r>
    </w:p>
    <w:p>
      <w:pPr>
        <w:pPr/>
        <w:numPr>
          <w:ilvl w:val="0"/>
          <w:numId w:val="12"/>
        </w:numPr>
      </w:pPr>
      <w:r>
        <w:rPr/>
        <w:t xml:space="preserve">Les structures bois conformes aux NF DTU 31.1, NF DTU 31.2; </w:t>
      </w:r>
    </w:p>
    <w:p>
      <w:pPr>
        <w:pPr/>
        <w:numPr>
          <w:ilvl w:val="0"/>
          <w:numId w:val="12"/>
        </w:numPr>
      </w:pPr>
      <w:r>
        <w:rPr/>
        <w:t xml:space="preserve">Toute structure à éléments porteurs en bois ou à base de bois calculée selon la NF EN 1995-1-1 y compris incluant des porteurs métalliques calculés selon l’Eurocode 3.</w:t>
      </w:r>
    </w:p>
    <w:p>
      <w:pPr/>
      <w:r>
        <w:rPr/>
        <w:t xml:space="preserve">Pour la réalisation des planchers, ces derniers devront être limité à la reprise de charges à caractère statique ou quasi-statique et le domaine d'emploi devra indiqué clairement la catégorie d'usage visée au sens de la norme au sens de la norme NF EN 1991-1-1.Les chariots élévateurs, impliquant des charges dynamiques, ne doivent pas être visés par l’Avis Technique.</w:t>
      </w:r>
    </w:p>
    <w:p>
      <w:pPr/>
      <w:r>
        <w:rPr/>
        <w:t xml:space="preserve">Pour la catégorie d’usage D1 ou plus il devra être précisé au Dossier Technique que :</w:t>
      </w:r>
    </w:p>
    <w:p>
      <w:pPr>
        <w:pPr/>
        <w:numPr>
          <w:ilvl w:val="0"/>
          <w:numId w:val="13"/>
        </w:numPr>
      </w:pPr>
      <w:r>
        <w:rPr/>
        <w:t xml:space="preserve">La capacité de l’assemblage entre panneaux adjacents vis-à-vis de la charge concentrée de la catégorie d’usage visée devra être justifiée ;</w:t>
      </w:r>
    </w:p>
    <w:p>
      <w:pPr>
        <w:pPr/>
        <w:numPr>
          <w:ilvl w:val="0"/>
          <w:numId w:val="13"/>
        </w:numPr>
      </w:pPr>
      <w:r>
        <w:rPr/>
        <w:t xml:space="preserve">La distance entre les organes d’assemblage doit être de 30 cm maximum ;</w:t>
      </w:r>
    </w:p>
    <w:p>
      <w:pPr>
        <w:pPr/>
        <w:numPr>
          <w:ilvl w:val="0"/>
          <w:numId w:val="13"/>
        </w:numPr>
      </w:pPr>
      <w:r>
        <w:rPr/>
        <w:t xml:space="preserve">Le pianotage entre panneaux CLT est limité à la déformation acceptée par les éléments d’équipement supportés.Lorsque la charge concentrée correspond à une charge long terme au sens de la norme NF EN 1995-1-1/NA, il y a lieu de considérer la concomitance de cette charge avec les efforts de contreventement.</w:t>
      </w:r>
    </w:p>
    <w:p>
      <w:pPr/>
      <w:r>
        <w:rPr>
          <w:rStyle w:val="font_h1"/>
        </w:rPr>
        <w:t xml:space="preserve">3. Description des matériaux</w:t>
      </w:r>
    </w:p>
    <w:p>
      <w:pPr>
        <w:ind w:left="720" w:right="0"/>
      </w:pPr>
      <w:r>
        <w:rPr>
          <w:rStyle w:val="font_h2"/>
        </w:rPr>
        <w:t xml:space="preserve">3.1. Planches en bois</w:t>
      </w:r>
    </w:p>
    <w:p>
      <w:pPr/>
      <w:r>
        <w:rPr/>
        <w:t xml:space="preserve">Validé par le Groupe Spécialisé le 11/05/2021</w:t>
      </w:r>
    </w:p>
    <w:p>
      <w:pPr/>
      <w:r>
        <w:rPr>
          <w:b/>
          <w:bCs/>
        </w:rPr>
        <w:t xml:space="preserve">Description</w:t>
      </w:r>
    </w:p>
    <w:p>
      <w:pPr/>
      <w:r>
        <w:rPr/>
        <w:t xml:space="preserve">Description des planches en bois utilisées :</w:t>
      </w:r>
    </w:p>
    <w:p>
      <w:pPr>
        <w:pPr/>
        <w:numPr>
          <w:ilvl w:val="0"/>
          <w:numId w:val="14"/>
        </w:numPr>
      </w:pPr>
      <w:r>
        <w:rPr/>
        <w:t xml:space="preserve">Essences utilisées ;</w:t>
      </w:r>
    </w:p>
    <w:p>
      <w:pPr>
        <w:pPr/>
        <w:numPr>
          <w:ilvl w:val="0"/>
          <w:numId w:val="14"/>
        </w:numPr>
      </w:pPr>
      <w:r>
        <w:rPr/>
        <w:t xml:space="preserve">Géométrie des planches (dimensions et tolérances dimensionnelles) ;</w:t>
      </w:r>
    </w:p>
    <w:p>
      <w:pPr>
        <w:pPr/>
        <w:numPr>
          <w:ilvl w:val="0"/>
          <w:numId w:val="14"/>
        </w:numPr>
      </w:pPr>
      <w:r>
        <w:rPr/>
        <w:t xml:space="preserve">Caractéristiques mécaniques des planches (classes de résistance selon la norme NF EN 14081 pour le bois massif et selon la norme NF EN 14080 pour le lamellé collé) ;</w:t>
      </w:r>
    </w:p>
    <w:p>
      <w:pPr>
        <w:pPr/>
        <w:numPr>
          <w:ilvl w:val="0"/>
          <w:numId w:val="14"/>
        </w:numPr>
      </w:pPr>
      <w:r>
        <w:rPr/>
        <w:t xml:space="preserve">Aboutage des planches selon la norme NF EN 16351 ou la norme NF EN 15497.</w:t>
      </w:r>
    </w:p>
    <w:p>
      <w:pPr>
        <w:ind w:left="720" w:right="0"/>
      </w:pPr>
      <w:r>
        <w:rPr>
          <w:rStyle w:val="font_h2"/>
        </w:rPr>
        <w:t xml:space="preserve">3.2. Colle</w:t>
      </w:r>
    </w:p>
    <w:p>
      <w:pPr/>
      <w:r>
        <w:rPr/>
        <w:t xml:space="preserve">Validé par le Groupe Spécialisé le 11/05/2021</w:t>
      </w:r>
    </w:p>
    <w:p>
      <w:pPr/>
      <w:r>
        <w:rPr>
          <w:b/>
          <w:bCs/>
        </w:rPr>
        <w:t xml:space="preserve">Description</w:t>
      </w:r>
    </w:p>
    <w:p>
      <w:pPr/>
      <w:r>
        <w:rPr/>
        <w:t xml:space="preserve">Description de la colle utilisée en précisant :</w:t>
      </w:r>
    </w:p>
    <w:p>
      <w:pPr>
        <w:pPr/>
        <w:numPr>
          <w:ilvl w:val="0"/>
          <w:numId w:val="15"/>
        </w:numPr>
      </w:pPr>
      <w:r>
        <w:rPr/>
        <w:t xml:space="preserve">Son type selon la norme NF EN 301 ou NF EN 15425  ;</w:t>
      </w:r>
    </w:p>
    <w:p>
      <w:pPr>
        <w:pPr/>
        <w:numPr>
          <w:ilvl w:val="0"/>
          <w:numId w:val="15"/>
        </w:numPr>
      </w:pPr>
      <w:r>
        <w:rPr/>
        <w:t xml:space="preserve">Les classes de service visées selon la norme NF EN 1995-1-1 ;</w:t>
      </w:r>
    </w:p>
    <w:p>
      <w:pPr>
        <w:pPr/>
        <w:numPr>
          <w:ilvl w:val="0"/>
          <w:numId w:val="15"/>
        </w:numPr>
      </w:pPr>
      <w:r>
        <w:rPr/>
        <w:t xml:space="preserve">La classe d'émission de substance formaldéhyde selon la norme NF EN 717-1.</w:t>
      </w:r>
    </w:p>
    <w:p>
      <w:pPr>
        <w:ind w:left="720" w:right="0"/>
      </w:pPr>
      <w:r>
        <w:rPr>
          <w:rStyle w:val="font_h2"/>
        </w:rPr>
        <w:t xml:space="preserve">3.3. Produits de préservation</w:t>
      </w:r>
    </w:p>
    <w:p>
      <w:pPr/>
      <w:r>
        <w:rPr/>
        <w:t xml:space="preserve">Validé par le Groupe Spécialisé le 13/07/2022</w:t>
      </w:r>
    </w:p>
    <w:p>
      <w:pPr/>
      <w:r>
        <w:rPr>
          <w:b/>
          <w:bCs/>
        </w:rPr>
        <w:t xml:space="preserve">Description</w:t>
      </w:r>
    </w:p>
    <w:p>
      <w:pPr/>
      <w:r>
        <w:rPr/>
        <w:t xml:space="preserve">En fonction de la classe d’emploi liée à la position du panneau CLT dans l’ouvrage d’une part, et à l’essence utilisée d’autre part, un traitement de préservation du bois peut être nécessaire. Il convient de respecter à cet égard les prescriptions des normes NF EN 335 et NF EN 350.</w:t>
      </w:r>
    </w:p>
    <w:p>
      <w:pPr/>
      <w:r>
        <w:rPr/>
        <w:t xml:space="preserve">Le produit de préservation utilisé doit être décrit.</w:t>
      </w:r>
    </w:p>
    <w:p>
      <w:pPr/>
      <w:r>
        <w:rPr/>
        <w:t xml:space="preserve">Conformément à la réglementation en vigueur, les panneaux CLT qui participent à la solidité des bâtiments devront être protégés par une durabilité conférée ou naturelle contre les insectes à larves xylophages sur l’ensemble du territoire et en complément, contre les termites dans les départements dans lesquels a été publié un arrêté préfectoral pris par l’application des articles L. 126-6 et L. 131-3.</w:t>
      </w:r>
    </w:p>
    <w:p>
      <w:pPr/>
      <w:r>
        <w:rPr/>
        <w:t xml:space="preserve">Les bâtiments neufs doivent être conçus et construits de façon à résister à l'action des termites et autres insectes xylophages. A cet effet doivent être mis en œuvre, pour les éléments participant à la solidité des structures, soit des bois naturellement résistant aux insectes ou des bois ou matériaux dérivés dont la durabilité a été renforcée, soit des dispositifs permettant le traitement ou le remplacement des éléments en bois ou matériaux dérivés.</w:t>
      </w:r>
    </w:p>
    <w:p>
      <w:pPr/>
      <w:r>
        <w:rPr>
          <w:rStyle w:val="font_h1"/>
        </w:rPr>
        <w:t xml:space="preserve">4. Description des panneaux</w:t>
      </w:r>
    </w:p>
    <w:p>
      <w:pPr>
        <w:ind w:left="720" w:right="0"/>
      </w:pPr>
      <w:r>
        <w:rPr>
          <w:rStyle w:val="font_h2"/>
        </w:rPr>
        <w:t xml:space="preserve">4.1. Caractéristiques géométriques des panneaux</w:t>
      </w:r>
    </w:p>
    <w:p>
      <w:pPr/>
      <w:r>
        <w:rPr/>
        <w:t xml:space="preserve">Validé par le Groupe Spécialisé le 20/11/2018</w:t>
      </w:r>
    </w:p>
    <w:p>
      <w:pPr/>
      <w:r>
        <w:rPr>
          <w:b/>
          <w:bCs/>
        </w:rPr>
        <w:t xml:space="preserve">Description</w:t>
      </w:r>
    </w:p>
    <w:p>
      <w:pPr>
        <w:pPr/>
        <w:numPr>
          <w:ilvl w:val="0"/>
          <w:numId w:val="16"/>
        </w:numPr>
      </w:pPr>
      <w:r>
        <w:rPr/>
        <w:t xml:space="preserve">Dimensions des panneaux (longueur, hauteur et épaisseur en fonction du nombre de pli) ;</w:t>
      </w:r>
    </w:p>
    <w:p>
      <w:pPr>
        <w:pPr/>
        <w:numPr>
          <w:ilvl w:val="0"/>
          <w:numId w:val="16"/>
        </w:numPr>
      </w:pPr>
      <w:r>
        <w:rPr/>
        <w:t xml:space="preserve">Préciser l'utilisation des panneaux en fonction de leurs épaisseurs.</w:t>
      </w:r>
    </w:p>
    <w:p>
      <w:pPr>
        <w:ind w:left="720" w:right="0"/>
      </w:pPr>
      <w:r>
        <w:rPr>
          <w:rStyle w:val="font_h2"/>
        </w:rPr>
        <w:t xml:space="preserve">4.2. Caractéristiques physiques des panneaux</w:t>
      </w:r>
    </w:p>
    <w:p>
      <w:pPr/>
      <w:r>
        <w:rPr/>
        <w:t xml:space="preserve">Validé par le Groupe Spécialisé le 20/11/2018</w:t>
      </w:r>
    </w:p>
    <w:p>
      <w:pPr/>
      <w:r>
        <w:rPr>
          <w:b/>
          <w:bCs/>
        </w:rPr>
        <w:t xml:space="preserve">Description</w:t>
      </w:r>
    </w:p>
    <w:p>
      <w:pPr/>
      <w:r>
        <w:rPr/>
        <w:t xml:space="preserve">Ajouter les caractéristiques physiques des panneaux :</w:t>
      </w:r>
    </w:p>
    <w:p>
      <w:pPr>
        <w:pPr/>
        <w:numPr>
          <w:ilvl w:val="0"/>
          <w:numId w:val="17"/>
        </w:numPr>
      </w:pPr>
      <w:r>
        <w:rPr/>
        <w:t xml:space="preserve">La masse volumique des panneaux ;</w:t>
      </w:r>
    </w:p>
    <w:p>
      <w:pPr>
        <w:pPr/>
        <w:numPr>
          <w:ilvl w:val="0"/>
          <w:numId w:val="17"/>
        </w:numPr>
      </w:pPr>
      <w:r>
        <w:rPr/>
        <w:t xml:space="preserve">Les variations dimensionnelles dans le plan et hors plan des panneaux ;</w:t>
      </w:r>
    </w:p>
    <w:p>
      <w:pPr>
        <w:pPr/>
        <w:numPr>
          <w:ilvl w:val="0"/>
          <w:numId w:val="17"/>
        </w:numPr>
      </w:pPr>
      <w:r>
        <w:rPr/>
        <w:t xml:space="preserve">La capacité calorifique massique du panneau ;</w:t>
      </w:r>
    </w:p>
    <w:p>
      <w:pPr>
        <w:pPr/>
        <w:numPr>
          <w:ilvl w:val="0"/>
          <w:numId w:val="17"/>
        </w:numPr>
      </w:pPr>
      <w:r>
        <w:rPr/>
        <w:t xml:space="preserve">Le coefficient de conductibilité thermique ;</w:t>
      </w:r>
    </w:p>
    <w:p>
      <w:pPr>
        <w:pPr/>
        <w:numPr>
          <w:ilvl w:val="0"/>
          <w:numId w:val="17"/>
        </w:numPr>
      </w:pPr>
      <w:r>
        <w:rPr/>
        <w:t xml:space="preserve">La résistance à la migration de vapeur d'eau.</w:t>
      </w:r>
    </w:p>
    <w:p>
      <w:pPr/>
      <w:r>
        <w:rPr>
          <w:rStyle w:val="font_h1"/>
        </w:rPr>
        <w:t xml:space="preserve">5. Fabrication et contrôle</w:t>
      </w:r>
    </w:p>
    <w:p>
      <w:pPr>
        <w:ind w:left="720" w:right="0"/>
      </w:pPr>
      <w:r>
        <w:rPr>
          <w:rStyle w:val="font_h2"/>
        </w:rPr>
        <w:t xml:space="preserve">5.1. Fabrication des panneaux</w:t>
      </w:r>
    </w:p>
    <w:p>
      <w:pPr/>
      <w:r>
        <w:rPr/>
        <w:t xml:space="preserve">Validé par le Groupe Spécialisé le 20/11/2018</w:t>
      </w:r>
    </w:p>
    <w:p>
      <w:pPr/>
      <w:r>
        <w:rPr>
          <w:b/>
          <w:bCs/>
        </w:rPr>
        <w:t xml:space="preserve">Description</w:t>
      </w:r>
    </w:p>
    <w:p>
      <w:pPr/>
      <w:r>
        <w:rPr/>
        <w:t xml:space="preserve">Ajouter le site de fabrication des panneaux CLT et décrire le processus de fabrication des panneaux (de la réception des planches à l'usinage du panneau) en précisant les tolérances de fabrication.</w:t>
      </w:r>
    </w:p>
    <w:p>
      <w:pPr>
        <w:ind w:left="720" w:right="0"/>
      </w:pPr>
      <w:r>
        <w:rPr>
          <w:rStyle w:val="font_h2"/>
        </w:rPr>
        <w:t xml:space="preserve">5.2. Identification des panneaux</w:t>
      </w:r>
    </w:p>
    <w:p>
      <w:pPr/>
      <w:r>
        <w:rPr/>
        <w:t xml:space="preserve">Validé par le Groupe Spécialisé le 20/11/2018</w:t>
      </w:r>
    </w:p>
    <w:p>
      <w:pPr/>
      <w:r>
        <w:rPr>
          <w:b/>
          <w:bCs/>
        </w:rPr>
        <w:t xml:space="preserve">Description</w:t>
      </w:r>
    </w:p>
    <w:p>
      <w:pPr/>
      <w:r>
        <w:rPr/>
        <w:t xml:space="preserve">Les panneaux doivent faire l'objet d'une fiche d'identification.Cette fiche doit à minima regrouper les informations suivantes :</w:t>
      </w:r>
    </w:p>
    <w:p>
      <w:pPr>
        <w:pPr/>
        <w:numPr>
          <w:ilvl w:val="0"/>
          <w:numId w:val="18"/>
        </w:numPr>
      </w:pPr>
      <w:r>
        <w:rPr/>
        <w:t xml:space="preserve">Le marquage CE si le panneau est conforme à une ETE ou à l'annexe ZA d'une norme applicable ;</w:t>
      </w:r>
    </w:p>
    <w:p>
      <w:pPr>
        <w:pPr/>
        <w:numPr>
          <w:ilvl w:val="0"/>
          <w:numId w:val="18"/>
        </w:numPr>
      </w:pPr>
      <w:r>
        <w:rPr/>
        <w:t xml:space="preserve">Le lieu de fabrication du panneau ;</w:t>
      </w:r>
    </w:p>
    <w:p>
      <w:pPr>
        <w:pPr/>
        <w:numPr>
          <w:ilvl w:val="0"/>
          <w:numId w:val="18"/>
        </w:numPr>
      </w:pPr>
      <w:r>
        <w:rPr/>
        <w:t xml:space="preserve">Les caractéristiques du panneau ;</w:t>
      </w:r>
    </w:p>
    <w:p>
      <w:pPr>
        <w:pPr/>
        <w:numPr>
          <w:ilvl w:val="0"/>
          <w:numId w:val="18"/>
        </w:numPr>
      </w:pPr>
      <w:r>
        <w:rPr/>
        <w:t xml:space="preserve">La référence de la commande.</w:t>
      </w:r>
    </w:p>
    <w:p>
      <w:pPr>
        <w:ind w:left="720" w:right="0"/>
      </w:pPr>
      <w:r>
        <w:rPr>
          <w:rStyle w:val="font_h2"/>
        </w:rPr>
        <w:t xml:space="preserve">5.3. Contrôle de fabrication</w:t>
      </w:r>
    </w:p>
    <w:p>
      <w:pPr/>
      <w:r>
        <w:rPr/>
        <w:t xml:space="preserve">Validé par le Groupe Spécialisé le 11/05/2021</w:t>
      </w:r>
    </w:p>
    <w:p>
      <w:pPr/>
      <w:r>
        <w:rPr>
          <w:b/>
          <w:bCs/>
        </w:rPr>
        <w:t xml:space="preserve">Description</w:t>
      </w:r>
    </w:p>
    <w:p>
      <w:pPr/>
      <w:r>
        <w:rPr/>
        <w:t xml:space="preserve">Décrire les contrôles réalisés au cours de la fabrication des panneaux CLT :</w:t>
      </w:r>
    </w:p>
    <w:p>
      <w:pPr>
        <w:pPr/>
        <w:numPr>
          <w:ilvl w:val="0"/>
          <w:numId w:val="19"/>
        </w:numPr>
      </w:pPr>
      <w:r>
        <w:rPr/>
        <w:t xml:space="preserve">Contrôle interne : Ce contrôle permet d’assurer la maîtrise de la qualité des panneaux et vise à assurer la conformité de la production. Il porte sur la description et un examen visuel de la matière première conformément à la norme NF EN 14081, le contrôle pendant la production et les vérifications/essais sur les produits finis, notamment essais de résistance du collage par délamination selon la norme NF EN 391, essais de résistance des aboutages selon la norme NF EN 16351, essais de résistance du panneau au cisaillement roulant selon la norme NF EN 16351.</w:t>
      </w:r>
    </w:p>
    <w:p>
      <w:pPr>
        <w:pPr/>
        <w:numPr>
          <w:ilvl w:val="0"/>
          <w:numId w:val="19"/>
        </w:numPr>
      </w:pPr>
      <w:r>
        <w:rPr/>
        <w:t xml:space="preserve">Contrôle externe : Ce contrôle externe est réalisé par un organisme extérieur dans le cadre d’un suivi d’Avis Technique, d’un marquage CE (ETE, normes harmonisées) ou d’une certification. Dans tous les cas, les contrôles réalisés par cet organisme devront être conformes à celles préconisées par la norme NF EN 16351.</w:t>
      </w:r>
    </w:p>
    <w:p>
      <w:pPr/>
      <w:r>
        <w:rPr>
          <w:b/>
          <w:bCs/>
        </w:rPr>
        <w:t xml:space="preserve">Justification</w:t>
      </w:r>
    </w:p>
    <w:p>
      <w:pPr>
        <w:pPr/>
        <w:numPr>
          <w:ilvl w:val="0"/>
          <w:numId w:val="20"/>
        </w:numPr>
      </w:pPr>
      <w:r>
        <w:rPr/>
        <w:t xml:space="preserve">Joindre les Plan d'Assurance Qualité de production des panneaux ;</w:t>
      </w:r>
    </w:p>
    <w:p>
      <w:pPr>
        <w:pPr/>
        <w:numPr>
          <w:ilvl w:val="0"/>
          <w:numId w:val="20"/>
        </w:numPr>
      </w:pPr>
      <w:r>
        <w:rPr/>
        <w:t xml:space="preserve">Joindre les certificats de suivi de l'organisme extérieur, les rapports d’audit et les registres de contrôle internes.</w:t>
      </w:r>
    </w:p>
    <w:p>
      <w:pPr/>
      <w:r>
        <w:rPr>
          <w:rStyle w:val="font_h1"/>
        </w:rPr>
        <w:t xml:space="preserve">6. Dimensionnement des panneaux</w:t>
      </w:r>
    </w:p>
    <w:p>
      <w:pPr>
        <w:ind w:left="720" w:right="0"/>
      </w:pPr>
      <w:r>
        <w:rPr>
          <w:rStyle w:val="font_h2"/>
        </w:rPr>
        <w:t xml:space="preserve">6.1. Calcul du module d'inertie efficace</w:t>
      </w:r>
    </w:p>
    <w:p>
      <w:pPr/>
      <w:r>
        <w:rPr/>
        <w:t xml:space="preserve">Validé par le Groupe Spécialisé le 11/05/2021</w:t>
      </w:r>
    </w:p>
    <w:p>
      <w:pPr/>
      <w:r>
        <w:rPr>
          <w:b/>
          <w:bCs/>
        </w:rPr>
        <w:t xml:space="preserve">Description</w:t>
      </w:r>
    </w:p>
    <w:p>
      <w:pPr/>
      <w:r>
        <w:rPr/>
        <w:t xml:space="preserve">Le calcul du module d’inertie efficace se base généralement à l’aide de la méthode gamma de l’annexe B de la norme NF EN 1995-1-1. On considère alors que seules les couches longitudinales participent à la reprise des efforts tandis que les couches transversales fonctionnant comme des liaisons dont la rigidité de glissement est prise en compte via les propriétés de cisaillement roulant.D’autres méthodes de calcul de l’inertie efficace peuvent être proposées. Celles-ci devront permettre de se rapprocher des valeurs déterminées par essais de flexion.La méthode de calcul de la rigidité efficace des panneaux CLT est également présentée dans le Cahier 3802_P2 §2.6.1.</w:t>
      </w:r>
    </w:p>
    <w:p>
      <w:pPr/>
      <w:r>
        <w:rPr>
          <w:b/>
          <w:bCs/>
        </w:rPr>
        <w:t xml:space="preserve">Justification</w:t>
      </w:r>
    </w:p>
    <w:p>
      <w:pPr/>
      <w:r>
        <w:rPr/>
        <w:t xml:space="preserve">Une note de calcul est attendue (les notes de calculs devront faire apparaître tous les paramètres de modélisation des panneaux CLT ainsi que les conditions de participation des plis transverses des panneaux).</w:t>
      </w:r>
    </w:p>
    <w:p>
      <w:pPr>
        <w:ind w:left="720" w:right="0"/>
      </w:pPr>
      <w:r>
        <w:rPr>
          <w:rStyle w:val="font_h2"/>
        </w:rPr>
        <w:t xml:space="preserve">6.2. Dimensionnement des planchers</w:t>
      </w:r>
    </w:p>
    <w:p>
      <w:pPr>
        <w:ind w:left="1440" w:right="0"/>
      </w:pPr>
      <w:r>
        <w:rPr>
          <w:rStyle w:val="font_h3"/>
        </w:rPr>
        <w:t xml:space="preserve">6.2.1. Vérification de la résistance sous l’effet du moment fléchissant</w:t>
      </w:r>
    </w:p>
    <w:p>
      <w:pPr/>
      <w:r>
        <w:rPr/>
        <w:t xml:space="preserve">Validé par le Groupe Spécialisé le 11/05/2021</w:t>
      </w:r>
    </w:p>
    <w:p>
      <w:pPr/>
      <w:r>
        <w:rPr>
          <w:b/>
          <w:bCs/>
        </w:rPr>
        <w:t xml:space="preserve">Description</w:t>
      </w:r>
    </w:p>
    <w:p>
      <w:pPr/>
      <w:r>
        <w:rPr/>
        <w:t xml:space="preserve">Cette vérification se fait conformément au §6.1.6 de la norme NF EN 1995-1-1 ou au §2.6.2.1 du Cahier 3802_P2.</w:t>
      </w:r>
    </w:p>
    <w:p>
      <w:pPr/>
      <w:r>
        <w:rPr>
          <w:b/>
          <w:bCs/>
        </w:rPr>
        <w:t xml:space="preserve">Justification</w:t>
      </w:r>
    </w:p>
    <w:p>
      <w:pPr/>
      <w:r>
        <w:rPr/>
        <w:t xml:space="preserve">Une note de calcul est attendue</w:t>
      </w:r>
    </w:p>
    <w:p>
      <w:pPr>
        <w:ind w:left="1440" w:right="0"/>
      </w:pPr>
      <w:r>
        <w:rPr>
          <w:rStyle w:val="font_h3"/>
        </w:rPr>
        <w:t xml:space="preserve">6.2.2. Vérification de la résistance sous l’effet de l’effort tranchant</w:t>
      </w:r>
    </w:p>
    <w:p>
      <w:pPr/>
      <w:r>
        <w:rPr/>
        <w:t xml:space="preserve">Validé par le Groupe Spécialisé le 11/05/2021</w:t>
      </w:r>
    </w:p>
    <w:p>
      <w:pPr/>
      <w:r>
        <w:rPr>
          <w:b/>
          <w:bCs/>
        </w:rPr>
        <w:t xml:space="preserve">Description</w:t>
      </w:r>
    </w:p>
    <w:p>
      <w:pPr/>
      <w:r>
        <w:rPr/>
        <w:t xml:space="preserve">Cette vérification se fait conformément au §6.1.7 de la norme NF EN 1995-1-1 ou au §2.6.2.2 du Cahier 3802_P2.</w:t>
      </w:r>
    </w:p>
    <w:p>
      <w:pPr/>
      <w:r>
        <w:rPr>
          <w:b/>
          <w:bCs/>
        </w:rPr>
        <w:t xml:space="preserve">Justification</w:t>
      </w:r>
    </w:p>
    <w:p>
      <w:pPr/>
      <w:r>
        <w:rPr/>
        <w:t xml:space="preserve">Une note de calcul est attendue</w:t>
      </w:r>
    </w:p>
    <w:p>
      <w:pPr>
        <w:ind w:left="1440" w:right="0"/>
      </w:pPr>
      <w:r>
        <w:rPr>
          <w:rStyle w:val="font_h3"/>
        </w:rPr>
        <w:t xml:space="preserve">6.2.3. Vérification de la résistance au cisaillement au niveau des entailles aux appuis</w:t>
      </w:r>
    </w:p>
    <w:p>
      <w:pPr/>
      <w:r>
        <w:rPr/>
        <w:t xml:space="preserve">Validé par le Groupe Spécialisé le 11/05/2021</w:t>
      </w:r>
    </w:p>
    <w:p>
      <w:pPr/>
      <w:r>
        <w:rPr>
          <w:b/>
          <w:bCs/>
        </w:rPr>
        <w:t xml:space="preserve">Description</w:t>
      </w:r>
    </w:p>
    <w:p>
      <w:pPr/>
      <w:r>
        <w:rPr/>
        <w:t xml:space="preserve">Cette vérification se fait conformément au §6.5.2 de la norme NF EN 1995-1-1.</w:t>
      </w:r>
    </w:p>
    <w:p>
      <w:pPr/>
      <w:r>
        <w:rPr/>
        <w:t xml:space="preserve">Dans le cas de l’utilisation de vis de frettage afin de reprendre les efforts de traction transversale, une méthode de dimensionnement devra être indiquée dans le Dossier Technique.</w:t>
      </w:r>
    </w:p>
    <w:p>
      <w:pPr/>
      <w:r>
        <w:rPr>
          <w:b/>
          <w:bCs/>
        </w:rPr>
        <w:t xml:space="preserve">Justification</w:t>
      </w:r>
    </w:p>
    <w:p>
      <w:pPr/>
      <w:r>
        <w:rPr/>
        <w:t xml:space="preserve">Une note de calcul est attendue</w:t>
      </w:r>
    </w:p>
    <w:p>
      <w:pPr>
        <w:ind w:left="1440" w:right="0"/>
      </w:pPr>
      <w:r>
        <w:rPr>
          <w:rStyle w:val="font_h3"/>
        </w:rPr>
        <w:t xml:space="preserve">6.2.4. Vérification des efforts de compression perpendiculaires</w:t>
      </w:r>
    </w:p>
    <w:p>
      <w:pPr/>
      <w:r>
        <w:rPr/>
        <w:t xml:space="preserve">Validé par le Groupe Spécialisé le 11/05/2021</w:t>
      </w:r>
    </w:p>
    <w:p>
      <w:pPr/>
      <w:r>
        <w:rPr>
          <w:b/>
          <w:bCs/>
        </w:rPr>
        <w:t xml:space="preserve">Description</w:t>
      </w:r>
    </w:p>
    <w:p>
      <w:pPr/>
      <w:r>
        <w:rPr/>
        <w:t xml:space="preserve">Cette vérification se fait conformément au §6.1.5 de la norme NF EN 1995-1-1 ou au §3.3.3 du Cahier 3802_P2.</w:t>
      </w:r>
    </w:p>
    <w:p>
      <w:pPr/>
      <w:r>
        <w:rPr>
          <w:b/>
          <w:bCs/>
        </w:rPr>
        <w:t xml:space="preserve">Justification</w:t>
      </w:r>
    </w:p>
    <w:p>
      <w:pPr/>
      <w:r>
        <w:rPr/>
        <w:t xml:space="preserve">Une note de calcul est attendue</w:t>
      </w:r>
    </w:p>
    <w:p>
      <w:pPr>
        <w:ind w:left="1440" w:right="0"/>
      </w:pPr>
      <w:r>
        <w:rPr>
          <w:rStyle w:val="font_h3"/>
        </w:rPr>
        <w:t xml:space="preserve">6.2.5. Vérification du fonctionnement en diaphragme</w:t>
      </w:r>
    </w:p>
    <w:p>
      <w:pPr/>
      <w:r>
        <w:rPr/>
        <w:t xml:space="preserve">Validé par le Groupe Spécialisé le 11/05/2021</w:t>
      </w:r>
    </w:p>
    <w:p>
      <w:pPr/>
      <w:r>
        <w:rPr>
          <w:b/>
          <w:bCs/>
        </w:rPr>
        <w:t xml:space="preserve">Description</w:t>
      </w:r>
    </w:p>
    <w:p>
      <w:pPr/>
      <w:r>
        <w:rPr/>
        <w:t xml:space="preserve">Le fonctionnement en diaphragme des planchers assure la transmission et la répartition des efforts horizontaux entre les éléments de contreventement (il transmet tous les efforts en têtes des murs). Ce fonctionnement est assuré en vérifiant les trois points suivants :</w:t>
      </w:r>
    </w:p>
    <w:p>
      <w:pPr>
        <w:pPr/>
        <w:numPr>
          <w:ilvl w:val="0"/>
          <w:numId w:val="21"/>
        </w:numPr>
      </w:pPr>
      <w:r>
        <w:rPr/>
        <w:t xml:space="preserve">Aptitude des panneaux à reprendre les efforts de traction/compression dans l’axe de l’effort : Cette vérification se fait conformément au §6.1.2 et §6.1.4 de la norme NF EN 1995-1-1, en ne prenant en compte que les plis travaillants (les plis dont le sens des fibres est parallèle au sens l’effort) ;</w:t>
      </w:r>
    </w:p>
    <w:p>
      <w:pPr>
        <w:pPr/>
        <w:numPr>
          <w:ilvl w:val="0"/>
          <w:numId w:val="21"/>
        </w:numPr>
      </w:pPr>
      <w:r>
        <w:rPr/>
        <w:t xml:space="preserve">Aptitude des organes d’assemblage à transmettre les efforts aux éléments de contreventement : Cette vérification se fait conformément au §8.2 de la norme NF EN 1995-1-1. Afin d’assurer un transfert des efforts entre le plancher et les éléments de contreventement verticaux, le plancher doit être constitué d’un chaînage continu permettant d’équilibrer les efforts de traction générer dans le diaphragme (les poutres de rives doivent être conçues pour résister au moment de flexion maximum dans le diaphragme conformément au §9.2.3.2 (2) de la norme NF EN 1995-1-1). ;</w:t>
      </w:r>
    </w:p>
    <w:p>
      <w:pPr>
        <w:pPr/>
        <w:numPr>
          <w:ilvl w:val="0"/>
          <w:numId w:val="21"/>
        </w:numPr>
      </w:pPr>
      <w:r>
        <w:rPr/>
        <w:t xml:space="preserve">Aptitude des organes d’assemblage à transmettre les efforts aux panneaux adjacents : Cette vérification se fait conformément au §8.2 de la norme NF EN 1995-1-1.</w:t>
      </w:r>
    </w:p>
    <w:p>
      <w:pPr/>
      <w:r>
        <w:rPr/>
        <w:t xml:space="preserve">Le dimensionnement des diaphragmes est également précisé au §5.2.1 du Cahier 3802_P2.</w:t>
      </w:r>
    </w:p>
    <w:p>
      <w:pPr/>
      <w:r>
        <w:rPr>
          <w:b/>
          <w:bCs/>
        </w:rPr>
        <w:t xml:space="preserve">Justification</w:t>
      </w:r>
    </w:p>
    <w:p>
      <w:pPr/>
      <w:r>
        <w:rPr/>
        <w:t xml:space="preserve">Une note de calcul est attendue</w:t>
      </w:r>
    </w:p>
    <w:p>
      <w:pPr>
        <w:ind w:left="1440" w:right="0"/>
      </w:pPr>
      <w:r>
        <w:rPr>
          <w:rStyle w:val="font_h3"/>
        </w:rPr>
        <w:t xml:space="preserve">6.2.6. Vérification des panneaux en planchers avec ouvertures</w:t>
      </w:r>
    </w:p>
    <w:p>
      <w:pPr/>
      <w:r>
        <w:rPr/>
        <w:t xml:space="preserve">Validé par le Groupe Spécialisé le 11/05/2021</w:t>
      </w:r>
    </w:p>
    <w:p>
      <w:pPr/>
      <w:r>
        <w:rPr>
          <w:b/>
          <w:bCs/>
        </w:rPr>
        <w:t xml:space="preserve">Description</w:t>
      </w:r>
    </w:p>
    <w:p>
      <w:pPr/>
      <w:r>
        <w:rPr/>
        <w:t xml:space="preserve">Une méthode de dimensionnement doit être proposée pour les ouvertures dans les panneaux CLT en utilisation de plancher. Celle-ci devra différencier les petites ouvertures (ouverture dont la largeur est égale à min (b/2 ; 400mm), avec b la largeur du plancher) et les grandes ouvertures (trémies d’escalier, etc…).Une méthode est proposée au §3.3.7 du Cahier 3802_P2.</w:t>
      </w:r>
    </w:p>
    <w:p>
      <w:pPr/>
      <w:r>
        <w:rPr>
          <w:b/>
          <w:bCs/>
        </w:rPr>
        <w:t xml:space="preserve">Justification</w:t>
      </w:r>
    </w:p>
    <w:p>
      <w:pPr/>
      <w:r>
        <w:rPr/>
        <w:t xml:space="preserve">Une méthode de calcul ainsi qu'une note de calcul sont attendues</w:t>
      </w:r>
    </w:p>
    <w:p>
      <w:pPr>
        <w:ind w:left="1440" w:right="0"/>
      </w:pPr>
      <w:r>
        <w:rPr>
          <w:rStyle w:val="font_h3"/>
        </w:rPr>
        <w:t xml:space="preserve">6.2.7. Vérification des déformations</w:t>
      </w:r>
    </w:p>
    <w:p>
      <w:pPr/>
      <w:r>
        <w:rPr/>
        <w:t xml:space="preserve">Validé par le Groupe Spécialisé le 13/07/2022</w:t>
      </w:r>
    </w:p>
    <w:p>
      <w:pPr/>
      <w:r>
        <w:rPr>
          <w:b/>
          <w:bCs/>
        </w:rPr>
        <w:t xml:space="preserve">Description</w:t>
      </w:r>
    </w:p>
    <w:p>
      <w:pPr/>
      <w:r>
        <w:rPr/>
        <w:t xml:space="preserve">Il conviendra de s’assurer de la compatibilité des déformations du plancher en panneaux CLT avec les parties d’ouvrages associées (cloisons, plafond, etc…) en prenant en comptes les exigences relatives au second œuvre comme préconisées dans la norme NF EN 1990 et les DTU.</w:t>
      </w:r>
    </w:p>
    <w:p>
      <w:pPr/>
      <w:r>
        <w:rPr/>
        <w:t xml:space="preserve">Il conviendra de réaliser ces vérifications conformément au §3.3.5 du Cahier 3802_P2.</w:t>
      </w:r>
    </w:p>
    <w:p>
      <w:pPr/>
      <w:r>
        <w:rPr/>
        <w:t xml:space="preserve">Concernant la vérification de la flèche active, il devra être indiqué au Dossier Technique :On appelle flèche active la part des déformations du plancher risquant de provoquer des désordres dans un ouvrage considéré généralement supporté (par exemple : cloison, carrelage, …). C’est donc l’accroissement de la flèche, ou fléchissement, pris par le plancher à partir de l’achèvement de l’ouvrage concerné.Le "fléchissement actif" des planchers pouvant nuire à l'intégrité des cloisons maçonnées ou aux revêtements de sol fragiles comporte :</w:t>
      </w:r>
    </w:p>
    <w:p>
      <w:pPr>
        <w:pPr/>
        <w:numPr>
          <w:ilvl w:val="0"/>
          <w:numId w:val="22"/>
        </w:numPr>
      </w:pPr>
      <w:r>
        <w:rPr/>
        <w:t xml:space="preserve">Les déformations différées sous l’action du poids propre du plancher ;  </w:t>
      </w:r>
    </w:p>
    <w:p>
      <w:pPr>
        <w:pPr/>
        <w:numPr>
          <w:ilvl w:val="0"/>
          <w:numId w:val="22"/>
        </w:numPr>
      </w:pPr>
      <w:r>
        <w:rPr/>
        <w:t xml:space="preserve">Les déformations totales dues aux charges permanentes mises en œuvre après les éléments fragiles ; </w:t>
      </w:r>
    </w:p>
    <w:p>
      <w:pPr>
        <w:pPr/>
        <w:numPr>
          <w:ilvl w:val="0"/>
          <w:numId w:val="22"/>
        </w:numPr>
      </w:pPr>
      <w:r>
        <w:rPr/>
        <w:t xml:space="preserve">Les déformations différées sous l’action de toutes les charges permanentes ; </w:t>
      </w:r>
    </w:p>
    <w:p>
      <w:pPr>
        <w:pPr/>
        <w:numPr>
          <w:ilvl w:val="0"/>
          <w:numId w:val="22"/>
        </w:numPr>
      </w:pPr>
      <w:r>
        <w:rPr/>
        <w:t xml:space="preserve">Les déformations totales dues à la part quasi permanente des charges d’exploitation.</w:t>
      </w:r>
    </w:p>
    <w:p>
      <w:pPr/>
      <w:r>
        <w:rPr/>
        <w:t xml:space="preserve">En l’absence de revêtement de sol fragile et de cloisons fragiles, la flèche active est limitée par la norme, ou en l’absence d’autres précisions, aux valeurs suivantes :</w:t>
      </w:r>
    </w:p>
    <w:p>
      <w:pPr>
        <w:pPr/>
        <w:numPr>
          <w:ilvl w:val="0"/>
          <w:numId w:val="23"/>
        </w:numPr>
      </w:pPr>
      <w:r>
        <w:rPr/>
        <w:t xml:space="preserve">L/350 pour L ≤ 7,00 m ; </w:t>
      </w:r>
    </w:p>
    <w:p>
      <w:pPr>
        <w:pPr/>
        <w:numPr>
          <w:ilvl w:val="0"/>
          <w:numId w:val="23"/>
        </w:numPr>
      </w:pPr>
      <w:r>
        <w:rPr/>
        <w:t xml:space="preserve">1 cm + L/700 pour L &gt; 7,00 m.</w:t>
      </w:r>
    </w:p>
    <w:p>
      <w:pPr/>
      <w:r>
        <w:rPr/>
        <w:t xml:space="preserve">En présence de revêtement de sol fragile ou de cloisons fragiles, les prescriptions portant sur la limitation des flèches nuisibles du FD P18 717 sont adoptées, soit :</w:t>
      </w:r>
    </w:p>
    <w:p>
      <w:pPr>
        <w:pPr/>
        <w:numPr>
          <w:ilvl w:val="0"/>
          <w:numId w:val="24"/>
        </w:numPr>
      </w:pPr>
      <w:r>
        <w:rPr/>
        <w:t xml:space="preserve">L/500 pour L ≤ 5,00 m ; </w:t>
      </w:r>
    </w:p>
    <w:p>
      <w:pPr>
        <w:pPr/>
        <w:numPr>
          <w:ilvl w:val="0"/>
          <w:numId w:val="24"/>
        </w:numPr>
      </w:pPr>
      <w:r>
        <w:rPr/>
        <w:t xml:space="preserve">0,5 cm + L/1000 pour L &gt; 5,00 m.</w:t>
      </w:r>
    </w:p>
    <w:p>
      <w:pPr/>
      <w:r>
        <w:rPr/>
        <w:t xml:space="preserve">Les critères de flèche active doivent être vérifiés en considérant les caractéristiques mécaniques long terme des panneaux CLT.</w:t>
      </w:r>
    </w:p>
    <w:p>
      <w:pPr/>
      <w:r>
        <w:rPr/>
        <w:t xml:space="preserve">La longueur des porte à faux sera limitée à 50 de la longueur de la travée adjacente d’équilibre La flèche au droit des porte à faux est limitée à 2 L/K lorsque celle de la portée courante est limitée à L/K (où K est par exemple 500 pour la flèche active des planchers supports de revêtements de sols rigides), sans pour autant que la limite qui en résulte soit inférieure à 5 mm ou excède les limites de déformation (flèche ou déplacement) prévues par certains NF DTUs.</w:t>
      </w:r>
    </w:p>
    <w:p>
      <w:pPr/>
      <w:r>
        <w:rPr/>
        <w:t xml:space="preserve">Lors de la vérification il convient de prendre en considération:</w:t>
      </w:r>
    </w:p>
    <w:p>
      <w:pPr>
        <w:pPr/>
        <w:numPr>
          <w:ilvl w:val="0"/>
          <w:numId w:val="25"/>
        </w:numPr>
      </w:pPr>
      <w:r>
        <w:rPr/>
        <w:t xml:space="preserve">L’effet de la répartition variable des charges sur les différentes travées;</w:t>
      </w:r>
    </w:p>
    <w:p>
      <w:pPr>
        <w:pPr/>
        <w:numPr>
          <w:ilvl w:val="0"/>
          <w:numId w:val="25"/>
        </w:numPr>
      </w:pPr>
      <w:r>
        <w:rPr/>
        <w:t xml:space="preserve">La compatibilité des déformations des ouvrages supportés (éléments de façade par exemple);</w:t>
      </w:r>
    </w:p>
    <w:p>
      <w:pPr>
        <w:pPr/>
        <w:numPr>
          <w:ilvl w:val="0"/>
          <w:numId w:val="25"/>
        </w:numPr>
      </w:pPr>
      <w:r>
        <w:rPr/>
        <w:t xml:space="preserve">Le comportement vibratoire du porte à faux.</w:t>
      </w:r>
    </w:p>
    <w:p>
      <w:pPr/>
      <w:r>
        <w:rPr>
          <w:b/>
          <w:bCs/>
        </w:rPr>
        <w:t xml:space="preserve">Justification</w:t>
      </w:r>
    </w:p>
    <w:p>
      <w:pPr/>
      <w:r>
        <w:rPr/>
        <w:t xml:space="preserve">Une note de calcul est attendue</w:t>
      </w:r>
    </w:p>
    <w:p>
      <w:pPr>
        <w:ind w:left="1440" w:right="0"/>
      </w:pPr>
      <w:r>
        <w:rPr>
          <w:rStyle w:val="font_h3"/>
        </w:rPr>
        <w:t xml:space="preserve">6.2.8. Comportement vibratoire</w:t>
      </w:r>
    </w:p>
    <w:p>
      <w:pPr/>
      <w:r>
        <w:rPr/>
        <w:t xml:space="preserve">Validé par le Groupe Spécialisé le 11/05/2021</w:t>
      </w:r>
    </w:p>
    <w:p>
      <w:pPr/>
      <w:r>
        <w:rPr>
          <w:b/>
          <w:bCs/>
        </w:rPr>
        <w:t xml:space="preserve">Description</w:t>
      </w:r>
    </w:p>
    <w:p>
      <w:pPr/>
      <w:r>
        <w:rPr/>
        <w:t xml:space="preserve">Une méthode de validation du comportement vibratoire doit être proposée. Celle-ci devra prendre en compte les critères suivants :</w:t>
      </w:r>
    </w:p>
    <w:p>
      <w:pPr>
        <w:pPr/>
        <w:numPr>
          <w:ilvl w:val="0"/>
          <w:numId w:val="26"/>
        </w:numPr>
      </w:pPr>
      <w:r>
        <w:rPr/>
        <w:t xml:space="preserve">La localisation du plancher ;</w:t>
      </w:r>
    </w:p>
    <w:p>
      <w:pPr>
        <w:pPr/>
        <w:numPr>
          <w:ilvl w:val="0"/>
          <w:numId w:val="26"/>
        </w:numPr>
      </w:pPr>
      <w:r>
        <w:rPr/>
        <w:t xml:space="preserve">La fréquence propre du plancher ;</w:t>
      </w:r>
    </w:p>
    <w:p>
      <w:pPr>
        <w:pPr/>
        <w:numPr>
          <w:ilvl w:val="0"/>
          <w:numId w:val="26"/>
        </w:numPr>
      </w:pPr>
      <w:r>
        <w:rPr/>
        <w:t xml:space="preserve">La flèche maximum du plancher ;</w:t>
      </w:r>
    </w:p>
    <w:p>
      <w:pPr>
        <w:pPr/>
        <w:numPr>
          <w:ilvl w:val="0"/>
          <w:numId w:val="26"/>
        </w:numPr>
      </w:pPr>
      <w:r>
        <w:rPr/>
        <w:t xml:space="preserve">L’accélération que peut tolérer le plancher.</w:t>
      </w:r>
    </w:p>
    <w:p>
      <w:pPr/>
      <w:r>
        <w:rPr/>
        <w:t xml:space="preserve">Une méthode est proposée au §3.3.6 du Cahier 3802_P2.</w:t>
      </w:r>
    </w:p>
    <w:p>
      <w:pPr/>
      <w:r>
        <w:rPr>
          <w:b/>
          <w:bCs/>
        </w:rPr>
        <w:t xml:space="preserve">Justification</w:t>
      </w:r>
    </w:p>
    <w:p>
      <w:pPr/>
      <w:r>
        <w:rPr/>
        <w:t xml:space="preserve">Une méthode ainsi qu'une note de calcul sont attendues</w:t>
      </w:r>
    </w:p>
    <w:p>
      <w:pPr>
        <w:ind w:left="720" w:right="0"/>
      </w:pPr>
      <w:r>
        <w:rPr>
          <w:rStyle w:val="font_h2"/>
        </w:rPr>
        <w:t xml:space="preserve">6.3. Dimensionnement des murs</w:t>
      </w:r>
    </w:p>
    <w:p>
      <w:pPr>
        <w:ind w:left="1440" w:right="0"/>
      </w:pPr>
      <w:r>
        <w:rPr>
          <w:rStyle w:val="font_h3"/>
        </w:rPr>
        <w:t xml:space="preserve">6.3.1. Vérification sous charges verticales</w:t>
      </w:r>
    </w:p>
    <w:p>
      <w:pPr/>
      <w:r>
        <w:rPr/>
        <w:t xml:space="preserve">Validé par le Groupe Spécialisé le 11/05/2021</w:t>
      </w:r>
    </w:p>
    <w:p>
      <w:pPr/>
      <w:r>
        <w:rPr>
          <w:b/>
          <w:bCs/>
        </w:rPr>
        <w:t xml:space="preserve">Description</w:t>
      </w:r>
    </w:p>
    <w:p>
      <w:pPr/>
      <w:r>
        <w:rPr/>
        <w:t xml:space="preserve">Cette vérification se fait conformément au §6.1.2 et §6.1.4 de la norme NF EN 1995-1-1 ou au §4.3.3 du Cahier 3802_P2, en ne prenant en compte que les plis travaillants (les plis dont le sens des fibres est parallèle au sens l’effort).Les chargements étant le plus souvent dissymétriques, la charge verticale est considérée comme excentrée. Cet excentrement sera pris égal à la plus grande des deux valeurs suivantes : 1/6 de l’épaisseur du panneau ou l’excentricité réelle.</w:t>
      </w:r>
    </w:p>
    <w:p>
      <w:pPr/>
      <w:r>
        <w:rPr>
          <w:b/>
          <w:bCs/>
        </w:rPr>
        <w:t xml:space="preserve">Justification</w:t>
      </w:r>
    </w:p>
    <w:p>
      <w:pPr/>
      <w:r>
        <w:rPr/>
        <w:t xml:space="preserve">Une note de calcul est attendue</w:t>
      </w:r>
    </w:p>
    <w:p>
      <w:pPr>
        <w:ind w:left="1440" w:right="0"/>
      </w:pPr>
      <w:r>
        <w:rPr>
          <w:rStyle w:val="font_h3"/>
        </w:rPr>
        <w:t xml:space="preserve">6.3.2. Vérification sous charges horizontales perpendiculaires au plan du panneau</w:t>
      </w:r>
    </w:p>
    <w:p>
      <w:pPr/>
      <w:r>
        <w:rPr/>
        <w:t xml:space="preserve">Validé par le Groupe Spécialisé le 11/05/2021</w:t>
      </w:r>
    </w:p>
    <w:p>
      <w:pPr/>
      <w:r>
        <w:rPr>
          <w:b/>
          <w:bCs/>
        </w:rPr>
        <w:t xml:space="preserve">Description</w:t>
      </w:r>
    </w:p>
    <w:p>
      <w:pPr/>
      <w:r>
        <w:rPr/>
        <w:t xml:space="preserve">Cette vérification se fait conformément au §6.1.6 de la norme NF EN 1995-1-1 ou au §4.3.2 du Cahier 3802_P2.</w:t>
      </w:r>
    </w:p>
    <w:p>
      <w:pPr/>
      <w:r>
        <w:rPr>
          <w:b/>
          <w:bCs/>
        </w:rPr>
        <w:t xml:space="preserve">Justification</w:t>
      </w:r>
    </w:p>
    <w:p>
      <w:pPr/>
      <w:r>
        <w:rPr/>
        <w:t xml:space="preserve">Une note de calcul est attendue</w:t>
      </w:r>
    </w:p>
    <w:p>
      <w:pPr>
        <w:ind w:left="1440" w:right="0"/>
      </w:pPr>
      <w:r>
        <w:rPr>
          <w:rStyle w:val="font_h3"/>
        </w:rPr>
        <w:t xml:space="preserve">6.3.3. Vérification sous charges verticales et horizontales perpendiculaires au plan du panneau combinée</w:t>
      </w:r>
    </w:p>
    <w:p>
      <w:pPr/>
      <w:r>
        <w:rPr/>
        <w:t xml:space="preserve">Validé par le Groupe Spécialisé le 11/05/2021</w:t>
      </w:r>
    </w:p>
    <w:p>
      <w:pPr/>
      <w:r>
        <w:rPr>
          <w:b/>
          <w:bCs/>
        </w:rPr>
        <w:t xml:space="preserve">Description</w:t>
      </w:r>
    </w:p>
    <w:p>
      <w:pPr/>
      <w:r>
        <w:rPr/>
        <w:t xml:space="preserve">Cette vérification se fait conformément au §6.3.2 de la norme NF EN 1995-1-1 ou au §4.3.3.2 du Cahier 3802_P2.</w:t>
      </w:r>
    </w:p>
    <w:p>
      <w:pPr/>
      <w:r>
        <w:rPr>
          <w:b/>
          <w:bCs/>
        </w:rPr>
        <w:t xml:space="preserve">Justification</w:t>
      </w:r>
    </w:p>
    <w:p>
      <w:pPr/>
      <w:r>
        <w:rPr/>
        <w:t xml:space="preserve">Une note de calcul est attendue</w:t>
      </w:r>
    </w:p>
    <w:p>
      <w:pPr>
        <w:ind w:left="1440" w:right="0"/>
      </w:pPr>
      <w:r>
        <w:rPr>
          <w:rStyle w:val="font_h3"/>
        </w:rPr>
        <w:t xml:space="preserve">6.3.4. Vérifications sous charges verticales ponctuelles</w:t>
      </w:r>
    </w:p>
    <w:p>
      <w:pPr/>
      <w:r>
        <w:rPr/>
        <w:t xml:space="preserve">Validé par le Groupe Spécialisé le 11/05/2021</w:t>
      </w:r>
    </w:p>
    <w:p>
      <w:pPr/>
      <w:r>
        <w:rPr>
          <w:b/>
          <w:bCs/>
        </w:rPr>
        <w:t xml:space="preserve">Description</w:t>
      </w:r>
    </w:p>
    <w:p>
      <w:pPr/>
      <w:r>
        <w:rPr/>
        <w:t xml:space="preserve">Cette vérification se fait conformément au §6.1.4 de la norme NF EN 1995-1-1 ou au §4.3.7 du Cahier 3802_P2.</w:t>
      </w:r>
    </w:p>
    <w:p>
      <w:pPr/>
      <w:r>
        <w:rPr>
          <w:b/>
          <w:bCs/>
        </w:rPr>
        <w:t xml:space="preserve">Justification</w:t>
      </w:r>
    </w:p>
    <w:p>
      <w:pPr/>
      <w:r>
        <w:rPr/>
        <w:t xml:space="preserve">Une note de calcul est attendue</w:t>
      </w:r>
    </w:p>
    <w:p>
      <w:pPr>
        <w:ind w:left="1440" w:right="0"/>
      </w:pPr>
      <w:r>
        <w:rPr>
          <w:rStyle w:val="font_h3"/>
        </w:rPr>
        <w:t xml:space="preserve">6.3.5. Reprise des efforts de compression oblique</w:t>
      </w:r>
    </w:p>
    <w:p>
      <w:pPr/>
      <w:r>
        <w:rPr/>
        <w:t xml:space="preserve">Validé par le Groupe Spécialisé le 11/05/2021</w:t>
      </w:r>
    </w:p>
    <w:p>
      <w:pPr/>
      <w:r>
        <w:rPr>
          <w:b/>
          <w:bCs/>
        </w:rPr>
        <w:t xml:space="preserve">Description</w:t>
      </w:r>
    </w:p>
    <w:p>
      <w:pPr/>
      <w:r>
        <w:rPr/>
        <w:t xml:space="preserve">Cette vérification se fait conformément au §6.2.2 de la norme NF EN 1995-1-1 ou au §4.3.3.4 du Cahier 3802_P2, en ne prenant en compte que les plis travaillants (les plis dont le sens des fibres est parallèle au sens l’effort).</w:t>
      </w:r>
    </w:p>
    <w:p>
      <w:pPr/>
      <w:r>
        <w:rPr>
          <w:b/>
          <w:bCs/>
        </w:rPr>
        <w:t xml:space="preserve">Justification</w:t>
      </w:r>
    </w:p>
    <w:p>
      <w:pPr/>
      <w:r>
        <w:rPr/>
        <w:t xml:space="preserve">Une note de calcul est attendue</w:t>
      </w:r>
    </w:p>
    <w:p>
      <w:pPr>
        <w:ind w:left="1440" w:right="0"/>
      </w:pPr>
      <w:r>
        <w:rPr>
          <w:rStyle w:val="font_h3"/>
        </w:rPr>
        <w:t xml:space="preserve">6.3.6. Reprises des efforts de contreventement</w:t>
      </w:r>
    </w:p>
    <w:p>
      <w:pPr/>
      <w:r>
        <w:rPr/>
        <w:t xml:space="preserve">Validé par le Groupe Spécialisé le 11/05/2021</w:t>
      </w:r>
    </w:p>
    <w:p>
      <w:pPr/>
      <w:r>
        <w:rPr>
          <w:b/>
          <w:bCs/>
        </w:rPr>
        <w:t xml:space="preserve">Description</w:t>
      </w:r>
    </w:p>
    <w:p>
      <w:pPr/>
      <w:r>
        <w:rPr/>
        <w:t xml:space="preserve">Lorsque des panneaux CLT sont utilisés pour assurer le contreventement, il est possible :</w:t>
      </w:r>
    </w:p>
    <w:p>
      <w:pPr>
        <w:pPr/>
        <w:numPr>
          <w:ilvl w:val="0"/>
          <w:numId w:val="27"/>
        </w:numPr>
      </w:pPr>
      <w:r>
        <w:rPr/>
        <w:t xml:space="preserve">Soit de les considérer comme une succession de panneaux isolés les uns des autres. Il est alors nécessaire de justifier leur tenue et celle de leurs ancrages en les considérant comme libres en tête et encastrés en pied. Ceci n’est applicable que si les panneaux sont fixés mécaniquement en pied et d’une largeur supérieure à 0,60 m. Il est également nécessaire de s’assurer de la présence d’une lisse haute transmettant l’effort horizontal et de justifier la transmission de l’effort aux panneaux par cette lisse et en ne tenant compte que des plis orientés dans le sens de cet effort.</w:t>
      </w:r>
    </w:p>
    <w:p>
      <w:pPr>
        <w:pPr/>
        <w:numPr>
          <w:ilvl w:val="0"/>
          <w:numId w:val="27"/>
        </w:numPr>
      </w:pPr>
      <w:r>
        <w:rPr/>
        <w:t xml:space="preserve">Soit de considérer les liaisons entre panneaux. Il est alors nécessaire de justifier la tenue des panneaux et celles de leurs ancrages d’une part, de justifier la transmission des efforts de glissement entre panneaux d’autre part.</w:t>
      </w:r>
    </w:p>
    <w:p>
      <w:pPr/>
      <w:r>
        <w:rPr/>
        <w:t xml:space="preserve">Lorsque des panneaux munis d’ouvertures sont utilisés pour assurer le contreventement, il doit être vérifié que la console seule est capable de transmettre l’effort horizontal en ne tenant compte que des plis orientés dans le sens des efforts.L’aptitude des organes d’assemblage à transmettre les efforts aux panneaux adjacents est vérifié conformément au §8.2 de la norme NF EN 1995-1-1.La lisse haute transmettant les efforts horizontaux entre panneaux doit être vérifiée conformément à la norme NF EN 1995-1-1.</w:t>
      </w:r>
    </w:p>
    <w:p>
      <w:pPr/>
      <w:r>
        <w:rPr/>
        <w:t xml:space="preserve">Le dimensionnement des panneaux CLT utilisés pour la reprise des efforts de contreventement peut être réalisé conformément au §4.3.4 du Cahier 3802_P2.</w:t>
      </w:r>
    </w:p>
    <w:p>
      <w:pPr/>
      <w:r>
        <w:rPr>
          <w:b/>
          <w:bCs/>
        </w:rPr>
        <w:t xml:space="preserve">Justification</w:t>
      </w:r>
    </w:p>
    <w:p>
      <w:pPr/>
      <w:r>
        <w:rPr/>
        <w:t xml:space="preserve">Une note de calcul est attendue</w:t>
      </w:r>
    </w:p>
    <w:p>
      <w:pPr>
        <w:ind w:left="1440" w:right="0"/>
      </w:pPr>
      <w:r>
        <w:rPr>
          <w:rStyle w:val="font_h3"/>
        </w:rPr>
        <w:t xml:space="preserve">6.3.7. Vérification de la capacité de résistance au cisaillement des panneaux sous charges horizontales dans le plan du panneau</w:t>
      </w:r>
    </w:p>
    <w:p>
      <w:pPr/>
      <w:r>
        <w:rPr/>
        <w:t xml:space="preserve">Validé par le Groupe Spécialisé le 11/05/2021</w:t>
      </w:r>
    </w:p>
    <w:p>
      <w:pPr/>
      <w:r>
        <w:rPr>
          <w:b/>
          <w:bCs/>
        </w:rPr>
        <w:t xml:space="preserve">Description</w:t>
      </w:r>
    </w:p>
    <w:p>
      <w:pPr/>
      <w:r>
        <w:rPr/>
        <w:t xml:space="preserve">La vérification de la capacité de résistance au cisaillement des panneaux sous charges horizontales dans le plan du panneau consiste à vérifier que les trois modes de ruptures potentiels ne sont pas atteints (cf. §4.3.4.2 du Cahier 3802_P2). Il faut donc vérifier :</w:t>
      </w:r>
    </w:p>
    <w:p>
      <w:pPr>
        <w:pPr/>
        <w:numPr>
          <w:ilvl w:val="0"/>
          <w:numId w:val="28"/>
        </w:numPr>
      </w:pPr>
      <w:r>
        <w:rPr/>
        <w:t xml:space="preserve">Le cisaillement global du panneau ;</w:t>
      </w:r>
    </w:p>
    <w:p>
      <w:pPr>
        <w:pPr/>
        <w:numPr>
          <w:ilvl w:val="0"/>
          <w:numId w:val="28"/>
        </w:numPr>
      </w:pPr>
      <w:r>
        <w:rPr/>
        <w:t xml:space="preserve">Le cisaillement des jonctions entre planches ;</w:t>
      </w:r>
    </w:p>
    <w:p>
      <w:pPr>
        <w:pPr/>
        <w:numPr>
          <w:ilvl w:val="0"/>
          <w:numId w:val="28"/>
        </w:numPr>
      </w:pPr>
      <w:r>
        <w:rPr/>
        <w:t xml:space="preserve">Le cisaillement des plans de croisement.</w:t>
      </w:r>
    </w:p>
    <w:p>
      <w:pPr/>
      <w:r>
        <w:rPr>
          <w:b/>
          <w:bCs/>
        </w:rPr>
        <w:t xml:space="preserve">Justification</w:t>
      </w:r>
    </w:p>
    <w:p>
      <w:pPr/>
      <w:r>
        <w:rPr/>
        <w:t xml:space="preserve">Une note de calcul est attendue</w:t>
      </w:r>
    </w:p>
    <w:p>
      <w:pPr>
        <w:ind w:left="1440" w:right="0"/>
      </w:pPr>
      <w:r>
        <w:rPr>
          <w:rStyle w:val="font_h3"/>
        </w:rPr>
        <w:t xml:space="preserve">6.3.8. Vérifications des linteaux</w:t>
      </w:r>
    </w:p>
    <w:p>
      <w:pPr/>
      <w:r>
        <w:rPr/>
        <w:t xml:space="preserve">Validé par le Groupe Spécialisé le 11/05/2021</w:t>
      </w:r>
    </w:p>
    <w:p>
      <w:pPr/>
      <w:r>
        <w:rPr>
          <w:b/>
          <w:bCs/>
        </w:rPr>
        <w:t xml:space="preserve">Description</w:t>
      </w:r>
    </w:p>
    <w:p>
      <w:pPr/>
      <w:r>
        <w:rPr/>
        <w:t xml:space="preserve">On considère deux types de linteau :</w:t>
      </w:r>
    </w:p>
    <w:p>
      <w:pPr>
        <w:pPr/>
        <w:numPr>
          <w:ilvl w:val="0"/>
          <w:numId w:val="29"/>
        </w:numPr>
      </w:pPr>
      <w:r>
        <w:rPr/>
        <w:t xml:space="preserve">Le linteau intégré au panneau CLT (ouverture dans le panneau) ;</w:t>
      </w:r>
    </w:p>
    <w:p>
      <w:pPr>
        <w:pPr/>
        <w:numPr>
          <w:ilvl w:val="0"/>
          <w:numId w:val="29"/>
        </w:numPr>
      </w:pPr>
      <w:r>
        <w:rPr/>
        <w:t xml:space="preserve">Le linteau rapporté.</w:t>
      </w:r>
    </w:p>
    <w:p>
      <w:pPr/>
      <w:r>
        <w:rPr/>
        <w:t xml:space="preserve">Si le linteau fait partie intégrante du panneau de mur, on le modélisera par une poutre encastrée à ses extrémités lorsque la hauteur de celui-ci sera inférieure à la largeur des bandes de murs formant poteaux. Dans le cas où un des poteaux n’est pas suffisamment large pour reprendre ces sollicitations, on considèrera alors que le linteau est encastré d’un côté et appuyé de l’autre.Lorsque ces conditions ne sont pas respectées ou lorsque le linteau est une pièce rapportée, on le considérera comme simplement appuyé.Dans ce derniers cas, il faudra vérifier le déversement du linteau conformément au §6.3.3 de la norme NF EN 1995-1-1.Il conviendra de vérifier la déformation des linteaux conformément au NF DTU 31.2.La vérification des poteaux formant l’ouverture sera faite conformément au §6.3.2 de la norme NF EN 1995-1-1.</w:t>
      </w:r>
    </w:p>
    <w:p>
      <w:pPr/>
      <w:r>
        <w:rPr/>
        <w:t xml:space="preserve">La vérification peut également être réalisée conformément au §4.3.6 du Cahier 3802_P2.</w:t>
      </w:r>
    </w:p>
    <w:p>
      <w:pPr/>
      <w:r>
        <w:rPr>
          <w:b/>
          <w:bCs/>
        </w:rPr>
        <w:t xml:space="preserve">Justification</w:t>
      </w:r>
    </w:p>
    <w:p>
      <w:pPr/>
      <w:r>
        <w:rPr/>
        <w:t xml:space="preserve">Une méthode de dimensionnement ainsi qu'une note de calcul sont attendues</w:t>
      </w:r>
    </w:p>
    <w:p>
      <w:pPr/>
      <w:r>
        <w:rPr>
          <w:rStyle w:val="font_h1"/>
        </w:rPr>
        <w:t xml:space="preserve">7. Sécurité en situation d'incendie</w:t>
      </w:r>
    </w:p>
    <w:p>
      <w:pPr/>
      <w:r>
        <w:rPr/>
        <w:t xml:space="preserve">Validé par le Groupe Spécialisé le 13/07/2022</w:t>
      </w:r>
    </w:p>
    <w:p>
      <w:pPr/>
      <w:r>
        <w:rPr>
          <w:b/>
          <w:bCs/>
        </w:rPr>
        <w:t xml:space="preserve">Description</w:t>
      </w:r>
    </w:p>
    <w:p>
      <w:pPr/>
      <w:r>
        <w:rPr/>
        <w:t xml:space="preserve">Lorsque le domaine d’emploi le requiert, la résistance au feu normalisée du procédé doit être indiquée en conformité avec la règlementation. Le procédé devra alors faire l'objet d'une Appréciation de Laboratoire au Feu d'un Laboratoire agréé.</w:t>
      </w:r>
    </w:p>
    <w:p>
      <w:pPr/>
      <w:r>
        <w:rPr/>
        <w:t xml:space="preserve">Les dispositions constructives permettant de limiter le risque de propagation du feu par les façades, dont la participation à l’indice C+D (écran thermique, jonction façade / plancher) devront être déterminées dans l’Appréciation de Laboratoire au Feu. Dans le cas d’intégration de modénatures de façade et/ou de brises soleil ou de spécifications complémentaires sur les côtes C+D vis-à-vis d’éléments non explicitement visés dans les Appréciations de Laboratoire au feu, un Avis de chantier conformément à l’Arrêté du 22 mars 2004 modifié devra être réalisé. Les éléments non-visés explicitement par l'Appréciation de Laboratoire au Feu devront être clairement indiqués dans l'Avis Technique.</w:t>
      </w:r>
    </w:p>
    <w:p>
      <w:pPr/>
      <w:r>
        <w:rPr/>
        <w:t xml:space="preserve">Pour la réaction au feu, les panneaux CLT bruts bénéficient d’un classement conventionnel en réaction au feu D-s2, d0 conformément à la norme NF EN 13501-1. L’adéquation entre ce classement et les exigences réglementaires doit être examinée au cas par cas en fonction du type de bâtiment et de l’emplacement du panneau dans l’ouvrage.</w:t>
      </w:r>
    </w:p>
    <w:p>
      <w:pPr/>
      <w:r>
        <w:rPr>
          <w:b/>
          <w:bCs/>
        </w:rPr>
        <w:t xml:space="preserve">Justification</w:t>
      </w:r>
    </w:p>
    <w:p>
      <w:pPr/>
      <w:r>
        <w:rPr/>
        <w:t xml:space="preserve">Un Procès-Verbal ou une Appréciation de résistance au feu établi par un laboratoire agréé, couvrant les produits et leurs utilisations, en précisant les dimensions limites des panneaux, les revêtements, le type et le niveau de chargement.</w:t>
      </w:r>
    </w:p>
    <w:p>
      <w:pPr/>
      <w:r>
        <w:rPr>
          <w:rStyle w:val="font_h1"/>
        </w:rPr>
        <w:t xml:space="preserve">8. Performances acoustiques</w:t>
      </w:r>
    </w:p>
    <w:p>
      <w:pPr/>
      <w:r>
        <w:rPr/>
        <w:t xml:space="preserve">Validé par le Groupe Spécialisé le 20/11/2018</w:t>
      </w:r>
    </w:p>
    <w:p>
      <w:pPr/>
      <w:r>
        <w:rPr>
          <w:b/>
          <w:bCs/>
        </w:rPr>
        <w:t xml:space="preserve">Description</w:t>
      </w:r>
    </w:p>
    <w:p>
      <w:pPr/>
      <w:r>
        <w:rPr/>
        <w:t xml:space="preserve">En fonction du domaine d’emploi, des performances acoustiques peuvent être nécessaire vis-à-vis de l’isolement au bruit aérien.</w:t>
      </w:r>
    </w:p>
    <w:p>
      <w:pPr/>
      <w:r>
        <w:rPr>
          <w:b/>
          <w:bCs/>
        </w:rPr>
        <w:t xml:space="preserve">Justification</w:t>
      </w:r>
    </w:p>
    <w:p>
      <w:pPr>
        <w:pPr/>
        <w:numPr>
          <w:ilvl w:val="0"/>
          <w:numId w:val="30"/>
        </w:numPr>
      </w:pPr>
      <w:r>
        <w:rPr/>
        <w:t xml:space="preserve">Rapports d'essais de détermination des indices d'affaiblissement acoustique des murs de moins de 10 ans;</w:t>
      </w:r>
    </w:p>
    <w:p>
      <w:pPr>
        <w:pPr/>
        <w:numPr>
          <w:ilvl w:val="0"/>
          <w:numId w:val="30"/>
        </w:numPr>
      </w:pPr>
      <w:r>
        <w:rPr/>
        <w:t xml:space="preserve">PV acoustique donnant l'indice d'affaiblissement global Rw des panneaux.</w:t>
      </w:r>
    </w:p>
    <w:p>
      <w:pPr/>
      <w:r>
        <w:rPr>
          <w:rStyle w:val="font_h1"/>
        </w:rPr>
        <w:t xml:space="preserve">9. Dimensionnement en zone sismique</w:t>
      </w:r>
    </w:p>
    <w:p>
      <w:pPr/>
      <w:r>
        <w:rPr/>
        <w:t xml:space="preserve">Validé par le Groupe Spécialisé le 13/07/2022</w:t>
      </w:r>
    </w:p>
    <w:p>
      <w:pPr/>
      <w:r>
        <w:rPr>
          <w:b/>
          <w:bCs/>
        </w:rPr>
        <w:t xml:space="preserve">Description</w:t>
      </w:r>
    </w:p>
    <w:p>
      <w:pPr/>
      <w:r>
        <w:rPr/>
        <w:t xml:space="preserve">Les dispositions du Cahier 3802_P2 du CSTB §5.3 s’appliquent.</w:t>
      </w:r>
    </w:p>
    <w:p>
      <w:pPr/>
      <w:r>
        <w:rPr/>
        <w:t xml:space="preserve">La justification en zone sismique des structures assemblées par panneaux CLT doit être menée en suivant le principe de comportement de structure soit dissipatif (Classe de ductilité M) soit faiblement dissipatif (Classe de ductilité L) conformément à NF EN 1998-1-1 (cf. §8.1.3 et §8.6 (2)P). Les effets des actions sont calculés sur la base de la méthode des forces latérales équivalentes du §4.3.3.2 ou de la réponse modale du §4.3.3.3 de la norme NF EN 1998-1-1.</w:t>
      </w:r>
    </w:p>
    <w:p>
      <w:pPr/>
      <w:r>
        <w:rPr/>
        <w:t xml:space="preserve">Les critères de régularité en plan et en élévation de la norme NF EN 1998-1-1 (cf. §4.2.3) doivent faire l’objet d’une vérification. Pour les bâtiments non-réguliers en élévation, les justifications doivent être menées avec un coefficient de comportement abaissé de 20 % et en déterminant les effets des actions sur la base d'une analyse modale.</w:t>
      </w:r>
    </w:p>
    <w:p>
      <w:pPr/>
      <w:r>
        <w:rPr/>
        <w:t xml:space="preserve">Pour les bâtiments non-réguliers en plan, les effets de la torsion sont à prendre en considération selon les dispositions de la norme NF EN 1998-1.</w:t>
      </w:r>
    </w:p>
    <w:p>
      <w:pPr/>
      <w:r>
        <w:rPr/>
        <w:t xml:space="preserve">Les coefficients de modification kmod correspondant à une classe de durée de chargement instantanée sont appliqués.</w:t>
      </w:r>
    </w:p>
    <w:p>
      <w:pPr/>
      <w:r>
        <w:rPr/>
        <w:t xml:space="preserve">Le coefficient partiel γM pris en compte dépend du principe de comportement de la structure :</w:t>
      </w:r>
    </w:p>
    <w:p>
      <w:pPr>
        <w:pPr/>
        <w:numPr>
          <w:ilvl w:val="0"/>
          <w:numId w:val="31"/>
        </w:numPr>
      </w:pPr>
      <w:r>
        <w:rPr/>
        <w:t xml:space="preserve">Pour le comportement faiblement dissipatif (DCL) on conserve les coefficients relatifs aux combinaisons fondamentales ; </w:t>
      </w:r>
    </w:p>
    <w:p>
      <w:pPr>
        <w:pPr/>
        <w:numPr>
          <w:ilvl w:val="0"/>
          <w:numId w:val="31"/>
        </w:numPr>
      </w:pPr>
      <w:r>
        <w:rPr/>
        <w:t xml:space="preserve">Pour le comportement dissipatif (DCM) on peut appliquer γM = 1,0.</w:t>
      </w:r>
    </w:p>
    <w:p>
      <w:pPr/>
      <w:r>
        <w:rPr/>
        <w:t xml:space="preserve">Lorsqu’ils sont prévus en zone sismique, les panneaux CLT utilisés en plancher doivent être organisés afin d’observer les points suivants :</w:t>
      </w:r>
    </w:p>
    <w:p>
      <w:pPr>
        <w:pPr/>
        <w:numPr>
          <w:ilvl w:val="0"/>
          <w:numId w:val="32"/>
        </w:numPr>
      </w:pPr>
      <w:r>
        <w:rPr/>
        <w:t xml:space="preserve">L’intégrité de la structure lors d’un séisme ; </w:t>
      </w:r>
    </w:p>
    <w:p>
      <w:pPr>
        <w:pPr/>
        <w:numPr>
          <w:ilvl w:val="0"/>
          <w:numId w:val="32"/>
        </w:numPr>
      </w:pPr>
      <w:r>
        <w:rPr/>
        <w:t xml:space="preserve">La fonction tirant-buton horizontal, assurée uniquement par les plis orientés dans le sens de l’effort à reprendre. La valeur de l’effort tirant-buton doit être déterminée par une étude sismique spécifique. Cet effort sera pris égal à la plus grande des deux valeurs suivantes : 15 kN/ml ou l’effort de tirant-buton déterminé ; </w:t>
      </w:r>
    </w:p>
    <w:p>
      <w:pPr>
        <w:pPr/>
        <w:numPr>
          <w:ilvl w:val="0"/>
          <w:numId w:val="32"/>
        </w:numPr>
      </w:pPr>
      <w:r>
        <w:rPr/>
        <w:t xml:space="preserve">La fonction diaphragme horizontal avec justification des jonctions entre panneaux adjacents pour les efforts de cisaillement induits.</w:t>
      </w:r>
    </w:p>
    <w:p>
      <w:pPr/>
      <w:r>
        <w:rPr/>
        <w:t xml:space="preserve">La justification des panneaux utilisés en murs de contreventement en zone sismique doit être effectuée en :</w:t>
      </w:r>
    </w:p>
    <w:p>
      <w:pPr>
        <w:pPr/>
        <w:numPr>
          <w:ilvl w:val="0"/>
          <w:numId w:val="33"/>
        </w:numPr>
      </w:pPr>
      <w:r>
        <w:rPr/>
        <w:t xml:space="preserve">Réalisant la fixation des panneaux au soubassement béton :</w:t>
      </w:r>
    </w:p>
    <w:p>
      <w:pPr>
        <w:pPr/>
        <w:numPr>
          <w:ilvl w:val="1"/>
          <w:numId w:val="33"/>
        </w:numPr>
      </w:pPr>
      <w:r>
        <w:rPr/>
        <w:t xml:space="preserve">Soit par des tiges d'ancrage et/ou bêches, le dimensionnement étant réalisé selon les dispositions de la NF EN 1993-1-8 pour les boulons d'ancrage tendus ; </w:t>
      </w:r>
    </w:p>
    <w:p>
      <w:pPr>
        <w:pPr/>
        <w:numPr>
          <w:ilvl w:val="1"/>
          <w:numId w:val="33"/>
        </w:numPr>
      </w:pPr>
      <w:r>
        <w:rPr/>
        <w:t xml:space="preserve">Soit par des chevilles bénéficiant d'une ETE visant une utilisation en béton fissuré et sous sollicitation sismique (catégorie de performance C2), le dimensionnement tenant compte des dispositions spécifiques de l'ETE pour cet usage ; on considère en outre un diagramme d'interaction linéaire pour justifier les chevilles sous charges combinées de traction et de cisaillement.</w:t>
      </w:r>
    </w:p>
    <w:p>
      <w:pPr/>
      <w:r>
        <w:rPr/>
        <w:t xml:space="preserve">Les déplacements entre étages en situation sismique devront être conformes à l’arrêté du 22 octobre 2010 modifié, au §4.4.3.2 de la norme NF EN 1998-1 et au §2.4 du guide ENS.</w:t>
      </w:r>
    </w:p>
    <w:p>
      <w:pPr/>
      <w:r>
        <w:rPr>
          <w:b/>
          <w:bCs/>
        </w:rPr>
        <w:t xml:space="preserve">Justification</w:t>
      </w:r>
    </w:p>
    <w:p>
      <w:pPr/>
      <w:r>
        <w:rPr/>
        <w:t xml:space="preserve">Une note de calcul est attendue</w:t>
      </w:r>
    </w:p>
    <w:p>
      <w:pPr/>
      <w:r>
        <w:rPr>
          <w:rStyle w:val="font_h1"/>
        </w:rPr>
        <w:t xml:space="preserve">11. Dispositions constructives</w:t>
      </w:r>
    </w:p>
    <w:p>
      <w:pPr/>
      <w:r>
        <w:rPr/>
        <w:t xml:space="preserve">Validé par le Groupe Spécialisé le 13/07/2022</w:t>
      </w:r>
    </w:p>
    <w:p>
      <w:pPr/>
      <w:r>
        <w:rPr>
          <w:b/>
          <w:bCs/>
        </w:rPr>
        <w:t xml:space="preserve">Description</w:t>
      </w:r>
    </w:p>
    <w:p>
      <w:pPr/>
      <w:r>
        <w:rPr/>
        <w:t xml:space="preserve">Description des modalités d’assemblage entre panneaux CLT ou avec d’autres supports (béton/maçonnerie, ossature métallique/bois) : description des assemblages ainsi que des organes d’assemblages (type d’organe, propriétés mécaniques, pinces et nombre d’organe, etc…).Description des dispositions constructives générales avec les phasages à partir de la commande jusqu’à la mise en œuvre des panneaux sur chantier.</w:t>
      </w:r>
    </w:p>
    <w:p>
      <w:pPr/>
      <w:r>
        <w:rPr/>
        <w:t xml:space="preserve">Lorsque les panneaux CLT sont utilisés pour la réalisation de bâtiments entrant dans le domaine d’application du DTU 31.2, c’est à dire d’une manière générale pour les bâtiments dont la structure principale porteuse est en bois, les dispositions non spécifiquement visées dans le cadre de cet Avis Technique doivent être conformes aux prescriptions du DTU 31.2 pour la conception, aux prescriptions des Eurocodes pour le calcul.</w:t>
      </w:r>
    </w:p>
    <w:p>
      <w:pPr/>
      <w:r>
        <w:rPr/>
        <w:t xml:space="preserve">Un pare-vapeur sera systématiquement mis en œuvre sur la face du panneau CLT exposée au climat intérieur (entre le panneau CLT et l’ouvrage en plaque de plâtre). La valeur de Sd (épaisseur de lame d'air équivalente) du pare-vapeur sera au minimum de 18m lorsque le revêtement extérieur est ventilé et de 90m dans le cas contraire.</w:t>
      </w:r>
    </w:p>
    <w:p>
      <w:pPr/>
      <w:r>
        <w:rPr/>
        <w:t xml:space="preserve">Concernant la mise en œuvre des revêtements désolidarisés (chapes ou revêtements de sol ), les caractéristiques des planchers CLT répondent aux caractéristiques des planchers bois spécifiées :</w:t>
      </w:r>
    </w:p>
    <w:p>
      <w:pPr>
        <w:pPr/>
        <w:numPr>
          <w:ilvl w:val="0"/>
          <w:numId w:val="34"/>
        </w:numPr>
      </w:pPr>
      <w:r>
        <w:rPr/>
        <w:t xml:space="preserve">Dans le DTU 51.3 pour la pose des revêtements de sol ; </w:t>
      </w:r>
    </w:p>
    <w:p>
      <w:pPr>
        <w:pPr/>
        <w:numPr>
          <w:ilvl w:val="0"/>
          <w:numId w:val="34"/>
        </w:numPr>
      </w:pPr>
      <w:r>
        <w:rPr/>
        <w:t xml:space="preserve">Dans les Recommandations Professionnelles RAGE « Chapes et dalles sur planchers bois – neuf » pour la mise en œuvre des chapes relevant du DTU 26.2 ; </w:t>
      </w:r>
    </w:p>
    <w:p>
      <w:pPr>
        <w:pPr/>
        <w:numPr>
          <w:ilvl w:val="0"/>
          <w:numId w:val="34"/>
        </w:numPr>
      </w:pPr>
      <w:r>
        <w:rPr/>
        <w:t xml:space="preserve">Dans le DTU 51.3 pour la mise en œuvre des chapes relevant des Avis Techniques visant le support bois.</w:t>
      </w:r>
    </w:p>
    <w:p>
      <w:pPr/>
      <w:r>
        <w:rPr/>
        <w:t xml:space="preserve">Le support devra être vérifié de la façon suivante :</w:t>
      </w:r>
    </w:p>
    <w:p>
      <w:pPr>
        <w:pPr/>
        <w:numPr>
          <w:ilvl w:val="0"/>
          <w:numId w:val="35"/>
        </w:numPr>
      </w:pPr>
      <w:r>
        <w:rPr/>
        <w:t xml:space="preserve">La vérification de l’humidité devra être réalisée conformément au guide Construction bois et gestion de l’humidité en phase chantier (CODIFAB – Avril 2020) en considérant les compléments suivants et devra faire l’objet d’une fiche d’autocontrôle qui prendra la forme d’un « Bon à Fermer » :</w:t>
      </w:r>
    </w:p>
    <w:p>
      <w:pPr>
        <w:pPr/>
        <w:numPr>
          <w:ilvl w:val="1"/>
          <w:numId w:val="35"/>
        </w:numPr>
      </w:pPr>
      <w:r>
        <w:rPr/>
        <w:t xml:space="preserve">La mesure d'humidité doit être mesurée régulièrement, au moins une fois par mois, jusqu'au jour du « Bon à Fermer » conformément au §3.1 du guide CODIFAB ;</w:t>
      </w:r>
    </w:p>
    <w:p>
      <w:pPr>
        <w:pPr/>
        <w:numPr>
          <w:ilvl w:val="1"/>
          <w:numId w:val="35"/>
        </w:numPr>
      </w:pPr>
      <w:r>
        <w:rPr/>
        <w:t xml:space="preserve">Les points de mesure doivent être répartis régulièrement, à raison de 2 points de contrôle tous les 100 m² d’un local : une proche de la façade et une au centre de la pièce ;</w:t>
      </w:r>
    </w:p>
    <w:p>
      <w:pPr>
        <w:pPr/>
        <w:numPr>
          <w:ilvl w:val="1"/>
          <w:numId w:val="35"/>
        </w:numPr>
      </w:pPr>
      <w:r>
        <w:rPr/>
        <w:t xml:space="preserve">Pour le « Bon à Fermer », une mesure complémentaire d'humidité devra être relevée à 2 cm de profondeur ;</w:t>
      </w:r>
    </w:p>
    <w:p>
      <w:pPr>
        <w:pPr/>
        <w:numPr>
          <w:ilvl w:val="1"/>
          <w:numId w:val="35"/>
        </w:numPr>
      </w:pPr>
      <w:r>
        <w:rPr/>
        <w:t xml:space="preserve">Les résultats obtenus devront être de 15±3% si la structure a été dimensionnée en classe de service 2 et de 12±2% si la structure a été dimensionnée en classe de service 1.</w:t>
      </w:r>
    </w:p>
    <w:p>
      <w:pPr>
        <w:pPr/>
        <w:numPr>
          <w:ilvl w:val="0"/>
          <w:numId w:val="35"/>
        </w:numPr>
      </w:pPr>
      <w:r>
        <w:rPr/>
        <w:t xml:space="preserve">Planéité et désaffleurement : imposés par le référentiel de la chape ou du revêtement de sol ou, à défaut, ceux du DTU 51.3.En cas de reprise de désaffleurement, un ponçage 5 mm au plus pourra être réalisé à l’aide d’une ponceuse par le charpentier ;</w:t>
      </w:r>
    </w:p>
    <w:p>
      <w:pPr>
        <w:pPr/>
        <w:numPr>
          <w:ilvl w:val="0"/>
          <w:numId w:val="35"/>
        </w:numPr>
      </w:pPr>
      <w:r>
        <w:rPr/>
        <w:t xml:space="preserve">Largeur des joints entre panneaux : La vérification de la largeur de joint devra être réalisée et consignée par le charpentier avant la mise en place des bandes adhésives. Si  l’ouverture  du  joint  entre panneaux est inférieure à 2 mm, il n’est pas nécessaire de traiter les joints. Lorsque l’ouverture des joints est supérieure à 2 mm sans dépasser 10 mm, ceux-ci doivent être remplis de mastics souples compatibles avec les éléments bois et doivent être affleurés. La mise en œuvre de ce mastic sera réalisée par le charpentier ;</w:t>
      </w:r>
    </w:p>
    <w:p>
      <w:pPr>
        <w:pPr/>
        <w:numPr>
          <w:ilvl w:val="0"/>
          <w:numId w:val="35"/>
        </w:numPr>
      </w:pPr>
      <w:r>
        <w:rPr/>
        <w:t xml:space="preserve">Continuité au droit des appuis : La rotation sur appui induit une ouverture entre deux panneaux inférieure à 2 mm. Lorsqu’elle est nécessaire pour le revêtement de sol, la continuité peut être réalisée par la mise en place d’une jonction par languette si le panneau CLT support n’est pas continu sur appuis ;</w:t>
      </w:r>
    </w:p>
    <w:p>
      <w:pPr>
        <w:pPr/>
        <w:numPr>
          <w:ilvl w:val="0"/>
          <w:numId w:val="35"/>
        </w:numPr>
      </w:pPr>
      <w:r>
        <w:rPr/>
        <w:t xml:space="preserve">Il relève de la conception d'éviter toutes présence de point dur au moment du coulage de la chape (exemple : connecteurs nervurés).</w:t>
      </w:r>
    </w:p>
    <w:p>
      <w:pPr/>
      <w:r>
        <w:rPr>
          <w:b/>
          <w:bCs/>
        </w:rPr>
        <w:t xml:space="preserve">Justification</w:t>
      </w:r>
    </w:p>
    <w:p>
      <w:pPr/>
      <w:r>
        <w:rPr/>
        <w:t xml:space="preserve">Décrire les organes d'assemblages couramment utilisés et envoyer leurs documents techniques (ETE, etc...).</w:t>
      </w:r>
    </w:p>
    <w:p>
      <w:pPr/>
      <w:r>
        <w:rPr/>
        <w:t xml:space="preserve">Un exemple de fiche d'autocontrôle avant mise en œuvre des revêtements ("bon à fermer") devra être ajouté en Annexe du Dossier Technique.</w:t>
      </w:r>
    </w:p>
    <w:p>
      <w:pPr/>
      <w:r>
        <w:rPr>
          <w:rStyle w:val="font_h1"/>
        </w:rPr>
        <w:t xml:space="preserve">12. Assistance technique</w:t>
      </w:r>
    </w:p>
    <w:p>
      <w:pPr/>
      <w:r>
        <w:rPr/>
        <w:t xml:space="preserve">Validé par le Groupe Spécialisé le 20/11/2018</w:t>
      </w:r>
    </w:p>
    <w:p>
      <w:pPr/>
      <w:r>
        <w:rPr>
          <w:b/>
          <w:bCs/>
        </w:rPr>
        <w:t xml:space="preserve">Description</w:t>
      </w:r>
    </w:p>
    <w:p>
      <w:pPr/>
      <w:r>
        <w:rPr/>
        <w:t xml:space="preserve">Préciser s’il y a une assistance technique et par qui celle-ci est assurée en France. Ajouter les bureaux d’études ou les groupements de BE ayant les capacités de dimensionner les panneaux.</w:t>
      </w:r>
    </w:p>
    <w:p>
      <w:pPr/>
      <w:r>
        <w:rPr>
          <w:b/>
          <w:bCs/>
        </w:rPr>
        <w:t xml:space="preserve">Justification</w:t>
      </w:r>
    </w:p>
    <w:p>
      <w:pPr/>
      <w:r>
        <w:rPr/>
        <w:t xml:space="preserve">Joindre une liste de Bureau d'Etudes ayants les capacités de dimensionner les panneaux CLT</w:t>
      </w:r>
    </w:p>
    <w:p>
      <w:pPr/>
      <w:r>
        <w:rPr>
          <w:rStyle w:val="font_h1"/>
        </w:rPr>
        <w:t xml:space="preserve">13. Protection des panneaux</w:t>
      </w:r>
    </w:p>
    <w:p>
      <w:pPr/>
      <w:r>
        <w:rPr/>
        <w:t xml:space="preserve">Validé par le Groupe Spécialisé le 11/05/2021</w:t>
      </w:r>
    </w:p>
    <w:p>
      <w:pPr/>
      <w:r>
        <w:rPr>
          <w:b/>
          <w:bCs/>
        </w:rPr>
        <w:t xml:space="preserve">Description</w:t>
      </w:r>
    </w:p>
    <w:p>
      <w:pPr/>
      <w:r>
        <w:rPr/>
        <w:t xml:space="preserve">Lorsque les panneaux CLT sont entreposés sur chantier, il est impératif de les protéger contre la pluie, les projections d’eau et de l’humidité par des bâches de protection ou des planches de protection. Il convient de prendre les dispositions nécessaires sur chantier afin de prévenir des reprises d’humidité trop importante. </w:t>
      </w:r>
    </w:p>
    <w:p>
      <w:pPr/>
      <w:r>
        <w:rPr/>
        <w:t xml:space="preserve">Les panneaux ne doivent pas être posés directement sur le sol, afin d’éviter les salissures et les reprises d’humidité, ni sur une surface non plane qui peut provoquer des déformations.</w:t>
      </w:r>
    </w:p>
    <w:p>
      <w:pPr/>
      <w:r>
        <w:rPr/>
        <w:t xml:space="preserve">La protection des panneaux devra être réalisée conformément aux §6.2 et §6.3.4.2 du Cahier 3802_P2.</w:t>
      </w:r>
    </w:p>
    <w:p>
      <w:pPr/>
      <w:r>
        <w:rPr>
          <w:rStyle w:val="font_h1"/>
        </w:rPr>
        <w:t xml:space="preserve">13. Levage des panneaux</w:t>
      </w:r>
    </w:p>
    <w:p>
      <w:pPr/>
      <w:r>
        <w:rPr/>
        <w:t xml:space="preserve">Validé par le Groupe Spécialisé le 29/02/2024</w:t>
      </w:r>
    </w:p>
    <w:p>
      <w:pPr/>
      <w:r>
        <w:rPr>
          <w:b/>
          <w:bCs/>
        </w:rPr>
        <w:t xml:space="preserve">Description</w:t>
      </w:r>
    </w:p>
    <w:p>
      <w:pPr/>
      <w:r>
        <w:rPr/>
        <w:t xml:space="preserve">Le GS a convenu d’intégrer de manière systématique l’évaluation de l’aptitude au levage du procédé lors de l’évaluation des parois.Le Dossier Technique devra détailler le mode de levage ainsi que les hypothèses de justification, qu'elles soient expérimentales ou basées sur des calculs.</w:t>
      </w:r>
    </w:p>
    <w:p>
      <w:pPr/>
      <w:r>
        <w:rPr>
          <w:rStyle w:val="font_h1"/>
        </w:rPr>
        <w:t xml:space="preserve">14. Références</w:t>
      </w:r>
    </w:p>
    <w:p>
      <w:pPr/>
      <w:r>
        <w:rPr/>
        <w:t xml:space="preserve">Validé par le Groupe Spécialisé le 20/11/2018</w:t>
      </w:r>
    </w:p>
    <w:p>
      <w:pPr/>
      <w:r>
        <w:rPr>
          <w:b/>
          <w:bCs/>
        </w:rPr>
        <w:t xml:space="preserve">Description</w:t>
      </w:r>
    </w:p>
    <w:p>
      <w:pPr/>
      <w:r>
        <w:rPr/>
        <w:t xml:space="preserve">Fourniture d’une liste de référence pour la réalisation d’une enquête chantier (au moins un exemple de chantier pour chaque élément). Pour chaque référence, il faut préciser :</w:t>
      </w:r>
    </w:p>
    <w:p>
      <w:pPr>
        <w:pPr/>
        <w:numPr>
          <w:ilvl w:val="0"/>
          <w:numId w:val="36"/>
        </w:numPr>
      </w:pPr>
      <w:r>
        <w:rPr/>
        <w:t xml:space="preserve">Le type de chantier ;</w:t>
      </w:r>
    </w:p>
    <w:p>
      <w:pPr>
        <w:pPr/>
        <w:numPr>
          <w:ilvl w:val="0"/>
          <w:numId w:val="36"/>
        </w:numPr>
      </w:pPr>
      <w:r>
        <w:rPr/>
        <w:t xml:space="preserve">Le lieu ;</w:t>
      </w:r>
    </w:p>
    <w:p>
      <w:pPr>
        <w:pPr/>
        <w:numPr>
          <w:ilvl w:val="0"/>
          <w:numId w:val="36"/>
        </w:numPr>
      </w:pPr>
      <w:r>
        <w:rPr/>
        <w:t xml:space="preserve">La date de mise en œuvre ;</w:t>
      </w:r>
    </w:p>
    <w:p>
      <w:pPr>
        <w:pPr/>
        <w:numPr>
          <w:ilvl w:val="0"/>
          <w:numId w:val="36"/>
        </w:numPr>
      </w:pPr>
      <w:r>
        <w:rPr/>
        <w:t xml:space="preserve">Le contrôleur technique s’il y en a eu un ;</w:t>
      </w:r>
    </w:p>
    <w:p>
      <w:pPr>
        <w:pPr/>
        <w:numPr>
          <w:ilvl w:val="0"/>
          <w:numId w:val="36"/>
        </w:numPr>
      </w:pPr>
      <w:r>
        <w:rPr/>
        <w:t xml:space="preserve">La surface de produit utilisée.</w:t>
      </w:r>
    </w:p>
    <w:p>
      <w:pPr/>
      <w:r>
        <w:rPr>
          <w:rStyle w:val="font_h1"/>
        </w:rPr>
        <w:t xml:space="preserve">15. Tableaux et figures du Dossier Technique</w:t>
      </w:r>
    </w:p>
    <w:p>
      <w:pPr/>
      <w:r>
        <w:rPr/>
        <w:t xml:space="preserve">Validé par le Groupe Spécialisé le 11/05/2021</w:t>
      </w:r>
    </w:p>
    <w:p>
      <w:pPr/>
      <w:r>
        <w:rPr>
          <w:b/>
          <w:bCs/>
        </w:rPr>
        <w:t xml:space="preserve">Description</w:t>
      </w:r>
    </w:p>
    <w:p>
      <w:pPr/>
      <w:r>
        <w:rPr/>
        <w:t xml:space="preserve">Les tableaux suivants doivent être présents dans la partie « Tableaux et Figures du Dossier Technique » :</w:t>
      </w:r>
    </w:p>
    <w:p>
      <w:pPr>
        <w:pPr/>
        <w:numPr>
          <w:ilvl w:val="0"/>
          <w:numId w:val="37"/>
        </w:numPr>
      </w:pPr>
      <w:r>
        <w:rPr/>
        <w:t xml:space="preserve">Tableau présentant la gamme de panneau du fabricant (type de panneau, épaisseur, nombre de pli) ;</w:t>
      </w:r>
    </w:p>
    <w:p>
      <w:pPr>
        <w:pPr/>
        <w:numPr>
          <w:ilvl w:val="0"/>
          <w:numId w:val="37"/>
        </w:numPr>
      </w:pPr>
      <w:r>
        <w:rPr/>
        <w:t xml:space="preserve">Tableau des résistances caractéristiques des différents panneaux ;</w:t>
      </w:r>
    </w:p>
    <w:p>
      <w:pPr>
        <w:pPr/>
        <w:numPr>
          <w:ilvl w:val="0"/>
          <w:numId w:val="37"/>
        </w:numPr>
      </w:pPr>
      <w:r>
        <w:rPr/>
        <w:t xml:space="preserve">Tableau des propriétés mécaniques des planches de bois utilisées ;</w:t>
      </w:r>
    </w:p>
    <w:p>
      <w:pPr>
        <w:pPr/>
        <w:numPr>
          <w:ilvl w:val="0"/>
          <w:numId w:val="37"/>
        </w:numPr>
      </w:pPr>
      <w:r>
        <w:rPr/>
        <w:t xml:space="preserve">Matrices des rigidités des différents panneaux.</w:t>
      </w:r>
    </w:p>
    <w:p>
      <w:pPr/>
      <w:r>
        <w:rPr/>
        <w:t xml:space="preserve">Les figures suivantes doivent être présentes dans cette même partie :</w:t>
      </w:r>
    </w:p>
    <w:p>
      <w:pPr>
        <w:pPr/>
        <w:numPr>
          <w:ilvl w:val="0"/>
          <w:numId w:val="38"/>
        </w:numPr>
      </w:pPr>
      <w:r>
        <w:rPr/>
        <w:t xml:space="preserve">Exemples de calepinage des panneaux ;</w:t>
      </w:r>
    </w:p>
    <w:p>
      <w:pPr>
        <w:pPr/>
        <w:numPr>
          <w:ilvl w:val="0"/>
          <w:numId w:val="38"/>
        </w:numPr>
      </w:pPr>
      <w:r>
        <w:rPr/>
        <w:t xml:space="preserve">Exemples de composition de paroi de mur et de plancher ;</w:t>
      </w:r>
    </w:p>
    <w:p>
      <w:pPr>
        <w:pPr/>
        <w:numPr>
          <w:ilvl w:val="0"/>
          <w:numId w:val="38"/>
        </w:numPr>
      </w:pPr>
      <w:r>
        <w:rPr/>
        <w:t xml:space="preserve">Exemples d’assemblages murs en panneaux CLT / planchers (CLT, solives, métallique, béton) ;</w:t>
      </w:r>
    </w:p>
    <w:p>
      <w:pPr>
        <w:pPr/>
        <w:numPr>
          <w:ilvl w:val="0"/>
          <w:numId w:val="38"/>
        </w:numPr>
      </w:pPr>
      <w:r>
        <w:rPr/>
        <w:t xml:space="preserve">Exemples d’assemblages planchers en panneaux CLT / murs (CLT, ossature bois/métallique, béton/maçonnerie) ;</w:t>
      </w:r>
    </w:p>
    <w:p>
      <w:pPr>
        <w:pPr/>
        <w:numPr>
          <w:ilvl w:val="0"/>
          <w:numId w:val="38"/>
        </w:numPr>
      </w:pPr>
      <w:r>
        <w:rPr/>
        <w:t xml:space="preserve">Exemples d’assemblages murs en panneaux CLT / murs en panneaux CLT ;</w:t>
      </w:r>
    </w:p>
    <w:p>
      <w:pPr>
        <w:pPr/>
        <w:numPr>
          <w:ilvl w:val="0"/>
          <w:numId w:val="38"/>
        </w:numPr>
      </w:pPr>
      <w:r>
        <w:rPr/>
        <w:t xml:space="preserve">Exemples d’assemblages planchers en panneaux CLT / planchers en panneaux CLT ;</w:t>
      </w:r>
    </w:p>
    <w:p>
      <w:pPr>
        <w:pPr/>
        <w:numPr>
          <w:ilvl w:val="0"/>
          <w:numId w:val="38"/>
        </w:numPr>
      </w:pPr>
      <w:r>
        <w:rPr/>
        <w:t xml:space="preserve">Exemples d’assemblage murs en panneaux CLT / soubassement béton (dalle et muret) ;</w:t>
      </w:r>
    </w:p>
    <w:p>
      <w:pPr>
        <w:pPr/>
        <w:numPr>
          <w:ilvl w:val="0"/>
          <w:numId w:val="38"/>
        </w:numPr>
      </w:pPr>
      <w:r>
        <w:rPr/>
        <w:t xml:space="preserve">Exemples d’assemblages entre un mur et une cloison/ mur de refend ;</w:t>
      </w:r>
    </w:p>
    <w:p>
      <w:pPr>
        <w:pPr/>
        <w:numPr>
          <w:ilvl w:val="0"/>
          <w:numId w:val="38"/>
        </w:numPr>
      </w:pPr>
      <w:r>
        <w:rPr/>
        <w:t xml:space="preserve">Exemples d’intégration des menuiseries dans un panneau CLT.</w:t>
      </w:r>
    </w:p>
    <w:p>
      <w:pPr/>
      <w:r>
        <w:rPr>
          <w:rStyle w:val="font_h1"/>
        </w:rPr>
        <w:t xml:space="preserve">16. Utilisation en support d'étanchéité</w:t>
      </w:r>
    </w:p>
    <w:p>
      <w:pPr/>
      <w:r>
        <w:rPr>
          <w:rStyle w:val="font_h1"/>
        </w:rPr>
        <w:t xml:space="preserve">17. Utilisation en support de couverture</w:t>
      </w:r>
    </w:p>
    <w:p>
      <w:pPr/>
      <w:r>
        <w:rPr>
          <w:rStyle w:val="font_h1"/>
        </w:rPr>
        <w:t xml:space="preserve">18. Utilisation de revêtement de sol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599CB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D47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982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40F3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A112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7899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6007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FC92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EEC1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51AC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CFEA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15FE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1B7B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49EF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CA9C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4498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7F58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FC516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D1845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6F802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3EED4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A8E44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3A922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75E9E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D3221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8063B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D0A7A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677C0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D1C07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EC117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2026-07-17T01:35:37+02:00</dcterms:created>
  <dcterms:modified xsi:type="dcterms:W3CDTF">2026-07-17T01:35:37+02:00</dcterms:modified>
</cp:coreProperties>
</file>

<file path=docProps/custom.xml><?xml version="1.0" encoding="utf-8"?>
<Properties xmlns="http://schemas.openxmlformats.org/officeDocument/2006/custom-properties" xmlns:vt="http://schemas.openxmlformats.org/officeDocument/2006/docPropsVTypes"/>
</file>