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font_default"/>
        </w:rPr>
        <w:t xml:space="preserve">Document entériné par le Groupe Spécialisé n° 3.3 - Édité le 03/05/2024</w:t>
      </w:r>
    </w:p>
    <w:p>
      <w:pPr>
        <w:pStyle w:val="paragraph_centered"/>
      </w:pPr>
      <w:r>
        <w:rPr>
          <w:rStyle w:val="font_h1"/>
        </w:rPr>
        <w:t xml:space="preserve">Liste minimale des éléments habituellement demandés par le Groupe Spécialisé</w:t>
      </w:r>
    </w:p>
    <w:p>
      <w:pPr/>
      <w:r>
        <w:rPr>
          <w:rStyle w:val="font_h2"/>
        </w:rPr>
        <w:t xml:space="preserve">Groupe Spécialisé n° 3.3 « Structures tridimensionnelles, ouvrages de fondation et d’infrastructure »</w:t>
      </w:r>
    </w:p>
    <w:p>
      <w:pPr/>
      <w:r>
        <w:rPr>
          <w:rStyle w:val="font_default"/>
        </w:rPr>
        <w:t xml:space="preserve">Famille de produits ou procédés : </w:t>
      </w:r>
      <w:r>
        <w:rPr>
          <w:rStyle w:val="font_h3"/>
        </w:rPr>
        <w:t xml:space="preserve">Lame d’étanchéité pour reprise de bétonnage et joint de fractionnement</w:t>
      </w:r>
    </w:p>
    <w:p>
      <w:pPr/>
      <w:r>
        <w:rPr>
          <w:rStyle w:val="font_h1"/>
        </w:rPr>
        <w:t xml:space="preserve">1. Principe</w:t>
      </w:r>
    </w:p>
    <w:p>
      <w:pPr/>
      <w:r>
        <w:rPr>
          <w:rStyle w:val="font_h1"/>
        </w:rPr>
        <w:t xml:space="preserve">2. Domaine d’emploi</w:t>
      </w:r>
    </w:p>
    <w:p>
      <w:pPr/>
      <w:r>
        <w:rPr/>
        <w:t xml:space="preserve">Validé par le Groupe Spécialisé le 24/09/2019</w:t>
      </w:r>
    </w:p>
    <w:p>
      <w:pPr/>
      <w:r>
        <w:rPr>
          <w:b/>
          <w:bCs/>
        </w:rPr>
        <w:t xml:space="preserve">Description</w:t>
      </w:r>
    </w:p>
    <w:p>
      <w:pPr/>
      <w:r>
        <w:rPr/>
        <w:t xml:space="preserve">Le Dossier Technique établi par le Demandeur ne devra plus faire mention d’étanchéité mais de limitation des infiltrations d’eau.</w:t>
      </w:r>
    </w:p>
    <w:p>
      <w:pPr/>
      <w:r>
        <w:rPr>
          <w:rStyle w:val="font_h1"/>
        </w:rPr>
        <w:t xml:space="preserve">3. Eléments constitutifs</w:t>
      </w:r>
    </w:p>
    <w:p>
      <w:pPr>
        <w:ind w:left="720" w:right="0"/>
      </w:pPr>
      <w:r>
        <w:rPr>
          <w:rStyle w:val="font_h2"/>
        </w:rPr>
        <w:t xml:space="preserve">3.1. La tôle</w:t>
      </w:r>
    </w:p>
    <w:p>
      <w:pPr>
        <w:ind w:left="720" w:right="0"/>
      </w:pPr>
      <w:r>
        <w:rPr>
          <w:rStyle w:val="font_h2"/>
        </w:rPr>
        <w:t xml:space="preserve">3.2. Le revêtement à base minérale</w:t>
      </w:r>
    </w:p>
    <w:p>
      <w:pPr>
        <w:ind w:left="720" w:right="0"/>
      </w:pPr>
      <w:r>
        <w:rPr>
          <w:rStyle w:val="font_h2"/>
        </w:rPr>
        <w:t xml:space="preserve">3.3. Les dispositifs de montage</w:t>
      </w:r>
    </w:p>
    <w:p>
      <w:pPr/>
      <w:r>
        <w:rPr>
          <w:rStyle w:val="font_h1"/>
        </w:rPr>
        <w:t xml:space="preserve">4. Fabrication - Contrôles</w:t>
      </w:r>
    </w:p>
    <w:p>
      <w:pPr>
        <w:ind w:left="720" w:right="0"/>
      </w:pPr>
      <w:r>
        <w:rPr>
          <w:rStyle w:val="font_h2"/>
        </w:rPr>
        <w:t xml:space="preserve">4.1. Description du processus de fabrication</w:t>
      </w:r>
    </w:p>
    <w:p>
      <w:pPr>
        <w:ind w:left="720" w:right="0"/>
      </w:pPr>
      <w:r>
        <w:rPr>
          <w:rStyle w:val="font_h2"/>
        </w:rPr>
        <w:t xml:space="preserve">4.2. Contrôles</w:t>
      </w:r>
    </w:p>
    <w:p>
      <w:pPr>
        <w:ind w:left="720" w:right="0"/>
      </w:pPr>
      <w:r>
        <w:rPr>
          <w:rStyle w:val="font_h2"/>
        </w:rPr>
        <w:t xml:space="preserve">4.3. Marquage – Stockage - Manutention</w:t>
      </w:r>
    </w:p>
    <w:p>
      <w:pPr>
        <w:ind w:left="720" w:right="0"/>
      </w:pPr>
      <w:r>
        <w:rPr>
          <w:rStyle w:val="font_h2"/>
        </w:rPr>
        <w:t xml:space="preserve">4.4. Distribution</w:t>
      </w:r>
    </w:p>
    <w:p>
      <w:pPr/>
      <w:r>
        <w:rPr>
          <w:rStyle w:val="font_h1"/>
        </w:rPr>
        <w:t xml:space="preserve">5. Conception – Dimensionnement</w:t>
      </w:r>
    </w:p>
    <w:p>
      <w:pPr>
        <w:ind w:left="720" w:right="0"/>
      </w:pPr>
      <w:r>
        <w:rPr>
          <w:rStyle w:val="font_h2"/>
        </w:rPr>
        <w:t xml:space="preserve">5.1. Généralités</w:t>
      </w:r>
    </w:p>
    <w:p>
      <w:pPr>
        <w:ind w:left="720" w:right="0"/>
      </w:pPr>
      <w:r>
        <w:rPr>
          <w:rStyle w:val="font_h2"/>
        </w:rPr>
        <w:t xml:space="preserve">5.2. Dimensionnement</w:t>
      </w:r>
    </w:p>
    <w:p>
      <w:pPr>
        <w:ind w:left="720" w:right="0"/>
      </w:pPr>
      <w:r>
        <w:rPr>
          <w:rStyle w:val="font_h2"/>
        </w:rPr>
        <w:t xml:space="preserve">5.3. Spécificités de conception en zone sismique</w:t>
      </w:r>
    </w:p>
    <w:p>
      <w:pPr>
        <w:ind w:left="720" w:right="0"/>
      </w:pPr>
      <w:r>
        <w:rPr>
          <w:rStyle w:val="font_h2"/>
        </w:rPr>
        <w:t xml:space="preserve">5.4. Traitement des fosses d’ascenseur</w:t>
      </w:r>
    </w:p>
    <w:p>
      <w:pPr/>
      <w:r>
        <w:rPr>
          <w:rStyle w:val="font_h1"/>
        </w:rPr>
        <w:t xml:space="preserve">6. Mise en œuvre – Contrôles</w:t>
      </w:r>
    </w:p>
    <w:p>
      <w:pPr>
        <w:ind w:left="720" w:right="0"/>
      </w:pPr>
      <w:r>
        <w:rPr>
          <w:rStyle w:val="font_h2"/>
        </w:rPr>
        <w:t xml:space="preserve">6.1. Stockage sur chantier</w:t>
      </w:r>
    </w:p>
    <w:p>
      <w:pPr>
        <w:ind w:left="720" w:right="0"/>
      </w:pPr>
      <w:r>
        <w:rPr>
          <w:rStyle w:val="font_h2"/>
        </w:rPr>
        <w:t xml:space="preserve">6.2. Travaux préparatoires</w:t>
      </w:r>
    </w:p>
    <w:p>
      <w:pPr>
        <w:ind w:left="720" w:right="0"/>
      </w:pPr>
      <w:r>
        <w:rPr>
          <w:rStyle w:val="font_h2"/>
        </w:rPr>
        <w:t xml:space="preserve">6.3. Positionnement</w:t>
      </w:r>
    </w:p>
    <w:p>
      <w:pPr>
        <w:ind w:left="720" w:right="0"/>
      </w:pPr>
      <w:r>
        <w:rPr>
          <w:rStyle w:val="font_h2"/>
        </w:rPr>
        <w:t xml:space="preserve">6.4. Fixation</w:t>
      </w:r>
    </w:p>
    <w:p>
      <w:pPr>
        <w:ind w:left="720" w:right="0"/>
      </w:pPr>
      <w:r>
        <w:rPr>
          <w:rStyle w:val="font_h2"/>
        </w:rPr>
        <w:t xml:space="preserve">6.5. Dispositions particulières</w:t>
      </w:r>
    </w:p>
    <w:p>
      <w:pPr>
        <w:ind w:left="720" w:right="0"/>
      </w:pPr>
      <w:r>
        <w:rPr>
          <w:rStyle w:val="font_h2"/>
        </w:rPr>
        <w:t xml:space="preserve">6.6. Précaution lors du bétonnage</w:t>
      </w:r>
    </w:p>
    <w:p>
      <w:pPr>
        <w:ind w:left="720" w:right="0"/>
      </w:pPr>
      <w:r>
        <w:rPr>
          <w:rStyle w:val="font_h2"/>
        </w:rPr>
        <w:t xml:space="preserve">6.7. Contrôles</w:t>
      </w:r>
    </w:p>
    <w:p>
      <w:pPr/>
      <w:r>
        <w:rPr>
          <w:rStyle w:val="font_h1"/>
        </w:rPr>
        <w:t xml:space="preserve">7. Assistance technique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graph_footer"/>
    </w:pPr>
    <w:r>
      <w:rPr>
        <w:rStyle w:val="font_footer"/>
      </w:rPr>
      <w:t xml:space="preserve">Secrétariat : 84 avenue Jean-Jaurès – Champs-sur-Marne – F-77447 Marne-la-Vallée Cedex 2</w:t>
    </w:r>
    <w:br/>
    <w:r>
      <w:rPr>
        <w:rStyle w:val="font_footer"/>
      </w:rPr>
      <w:t xml:space="preserve">Tel : (33)01.64.68.85.60 - Fax : (33)01.64.68.85.65</w:t>
    </w:r>
    <w:br/>
    <w:r>
      <w:rPr>
        <w:rStyle w:val="font_footer"/>
      </w:rPr>
      <w:t xml:space="preserve">Serveur Internet : http://www.cstb.fr - E-mail : secretariat.at@cstb.fr</w:t>
    </w:r>
    <w:br/>
  </w:p>
  <w:p>
    <w:pPr>
      <w:pStyle w:val="paragraph_footer"/>
    </w:pPr>
    <w:r>
      <w:rPr>
        <w:rStyle w:val="font_footer"/>
      </w:rPr>
      <w:t xml:space="preserve">Page </w:t>
    </w:r>
    <w:r>
      <w:fldChar w:fldCharType="begin"/>
    </w:r>
    <w:r>
      <w:rPr>
        <w:rStyle w:val="font_footer"/>
      </w:rPr>
      <w:instrText xml:space="preserve">PAGE</w:instrText>
    </w:r>
    <w:r>
      <w:fldChar w:fldCharType="separate"/>
    </w:r>
    <w:r>
      <w:fldChar w:fldCharType="end"/>
    </w:r>
    <w:r>
      <w:rPr>
        <w:rStyle w:val="font_footer"/>
      </w:rPr>
      <w:t xml:space="preserve"> sur </w:t>
    </w:r>
    <w:r>
      <w:fldChar w:fldCharType="begin"/>
    </w:r>
    <w:r>
      <w:rPr>
        <w:rStyle w:val="font_footer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</w:p>
  <w:p>
    <w:pPr/>
    <w:r>
      <w:pict>
        <v:shape type="#_x0000_t75" style="width:170pt; height:60pt; margin-left:0pt; margin-top:0pt; mso-position-horizontal:left; mso-position-vertical:top; mso-position-horizontal-relative:char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font_default">
    <w:name w:val="font_default"/>
    <w:basedOn w:val="Normal"/>
    <w:pPr>
      <w:spacing w:line="240" w:lineRule="auto"/>
    </w:pPr>
    <w:rPr>
      <w:rFonts w:ascii="Calibri" w:hAnsi="Calibri" w:eastAsia="Calibri" w:cs="Calibri"/>
      <w:color w:val="000000"/>
      <w:sz w:val="22"/>
      <w:szCs w:val="22"/>
    </w:rPr>
  </w:style>
  <w:style w:type="character">
    <w:name w:val="font_h1"/>
    <w:rPr>
      <w:rFonts w:ascii="Calibri" w:hAnsi="Calibri" w:eastAsia="Calibri" w:cs="Calibri"/>
      <w:color w:val="000000"/>
      <w:sz w:val="28"/>
      <w:szCs w:val="28"/>
      <w:b/>
      <w:bCs/>
    </w:rPr>
  </w:style>
  <w:style w:type="character">
    <w:name w:val="font_h2"/>
    <w:rPr>
      <w:rFonts w:ascii="Calibri" w:hAnsi="Calibri" w:eastAsia="Calibri" w:cs="Calibri"/>
      <w:color w:val="000000"/>
      <w:sz w:val="24"/>
      <w:szCs w:val="24"/>
      <w:b/>
      <w:bCs/>
    </w:rPr>
  </w:style>
  <w:style w:type="character">
    <w:name w:val="font_h3"/>
    <w:rPr>
      <w:rFonts w:ascii="Calibri" w:hAnsi="Calibri" w:eastAsia="Calibri" w:cs="Calibri"/>
      <w:color w:val="000000"/>
      <w:sz w:val="22"/>
      <w:szCs w:val="22"/>
      <w:b/>
      <w:bCs/>
    </w:rPr>
  </w:style>
  <w:style w:type="character">
    <w:name w:val="font_footer"/>
    <w:rPr>
      <w:rFonts w:ascii="Calibri" w:hAnsi="Calibri" w:eastAsia="Calibri" w:cs="Calibri"/>
      <w:color w:val="000000"/>
      <w:sz w:val="20"/>
      <w:szCs w:val="20"/>
    </w:rPr>
  </w:style>
  <w:style w:type="paragraph" w:customStyle="1" w:styleId="paragraph_centered">
    <w:name w:val="paragraph_centered"/>
    <w:basedOn w:val="Normal"/>
    <w:pPr>
      <w:jc w:val="center"/>
    </w:pPr>
  </w:style>
  <w:style w:type="paragraph" w:customStyle="1" w:styleId="paragraph_footer">
    <w:name w:val="paragraph_footer"/>
    <w:basedOn w:val="Normal"/>
    <w:pPr>
      <w:jc w:val="center"/>
      <w:spacing w:after="0" w:line="240" w:lineRule="auto"/>
    </w:pPr>
  </w:style>
  <w:style w:type="table" w:customStyle="1" w:styleId="table">
    <w:name w:val="table"/>
    <w:uiPriority w:val="99"/>
    <w:tblPr>
      <w:tblW w:w="0" w:type="auto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444444"/>
        <w:left w:val="single" w:sz="6" w:color="444444"/>
        <w:right w:val="single" w:sz="6" w:color="444444"/>
        <w:bottom w:val="single" w:sz="6" w:color="444444"/>
        <w:insideH w:val="single" w:sz="6" w:color="444444"/>
        <w:insideV w:val="single" w:sz="6" w:color="444444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2024-05-03T14:45:42+02:00</dcterms:created>
  <dcterms:modified xsi:type="dcterms:W3CDTF">2024-05-03T14:45:42+02:00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