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01/06/2026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Bassin de piscine en inox</w:t>
      </w:r>
    </w:p>
    <w:p>
      <w:pPr/>
      <w:r>
        <w:rPr>
          <w:rStyle w:val="font_h1"/>
        </w:rPr>
        <w:t xml:space="preserve">1. Définition succinte</w:t>
      </w:r>
    </w:p>
    <w:p>
      <w:pPr>
        <w:ind w:left="720" w:right="0"/>
      </w:pPr>
      <w:r>
        <w:rPr>
          <w:rStyle w:val="font_h2"/>
        </w:rPr>
        <w:t xml:space="preserve">1.1. Description succinte</w:t>
      </w:r>
    </w:p>
    <w:p>
      <w:pPr/>
      <w:r>
        <w:rPr/>
        <w:t xml:space="preserve">Validé par le Groupe Spécialisé le 20/11/2018</w:t>
      </w:r>
    </w:p>
    <w:p>
      <w:pPr/>
      <w:r>
        <w:rPr>
          <w:b/>
          <w:bCs/>
        </w:rPr>
        <w:t xml:space="preserve">Description</w:t>
      </w:r>
    </w:p>
    <w:p>
      <w:pPr/>
      <w:r>
        <w:rPr/>
        <w:t xml:space="preserve">Procédé de construction de bassins de piscines en acier inoxydable réalisés à partir d’éléments préfabriqués en usine et soudés entre eux sur chantier. Un bassin en acier inoxydable comprend les goulottes de débordement, les parois verticales, le fond du bassin ainsi que les équipements tels que les escaliers, échelles, banquettes et couchettes ou autres cloisons séparatives. Il comprend également toutes les canalisations, les bondes de fond, les injecteurs d’eau traitée et tous autres équipements nécessaires à son hydraulicité et l’alimentation en air des éléments d’attraction. Tous ces éléments sont en acier inoxydable et soudés entre eux pour constituer un ensemble homogène et étanche. Les tuyauteries font partie intégrante du bassin et les canalisations du traitement d’eau sont à raccorder sur des brides en attente prévues en standard à 50cm à l’extérieur du bassin.</w:t>
      </w:r>
    </w:p>
    <w:p>
      <w:pPr/>
      <w:r>
        <w:rPr/>
        <w:t xml:space="preserve">Les épaisseurs des tôles sont comprises entre [X mm et X mm ; généralement entre 1,5 mm et 4 mm]. Des épaisseurs supérieures peuvent être utilisées dans des cas particuliers.Les bassins de piscine inox sont livrés avec les accessoires de raccordement nécessaires à leur fonctionnement hydraulique conformément à la norme NF EN 13451-3. Les accessoires du bassin sont réalisés conformément aux normes NF EN 13451-1 à 11.</w:t>
      </w:r>
    </w:p>
    <w:p>
      <w:pPr>
        <w:ind w:left="720" w:right="0"/>
      </w:pPr>
      <w:r>
        <w:rPr>
          <w:rStyle w:val="font_h2"/>
        </w:rPr>
        <w:t xml:space="preserve">1.2. Domaine d'emploi</w:t>
      </w:r>
    </w:p>
    <w:p>
      <w:pPr/>
      <w:r>
        <w:rPr/>
        <w:t xml:space="preserve">Validé par le Groupe Spécialisé le 20/11/2018</w:t>
      </w:r>
    </w:p>
    <w:p>
      <w:pPr/>
      <w:r>
        <w:rPr>
          <w:b/>
          <w:bCs/>
        </w:rPr>
        <w:t xml:space="preserve">Description</w:t>
      </w:r>
    </w:p>
    <w:p>
      <w:pPr/>
      <w:r>
        <w:rPr/>
        <w:t xml:space="preserve">Réalisation de parois de piscines à usage privé ou public (types 1 à 3) au sens de la norme NF EN 15288-1, en construction neuve ou en rénovation.Différentes conceptions des bassins peuvent être visées :</w:t>
      </w:r>
    </w:p>
    <w:p>
      <w:pPr>
        <w:pPr/>
        <w:numPr>
          <w:ilvl w:val="0"/>
          <w:numId w:val="9"/>
        </w:numPr>
      </w:pPr>
      <w:r>
        <w:rPr/>
        <w:t xml:space="preserve">Les bassins neufs, isolés et autoportants ; </w:t>
      </w:r>
    </w:p>
    <w:p>
      <w:pPr>
        <w:pPr/>
        <w:numPr>
          <w:ilvl w:val="0"/>
          <w:numId w:val="9"/>
        </w:numPr>
      </w:pPr>
      <w:r>
        <w:rPr/>
        <w:t xml:space="preserve">Les bassins neufs mais dont la stabilité des parois est assurée par un ouvrage complémentaire ;</w:t>
      </w:r>
    </w:p>
    <w:p>
      <w:pPr>
        <w:pPr/>
        <w:numPr>
          <w:ilvl w:val="0"/>
          <w:numId w:val="9"/>
        </w:numPr>
      </w:pPr>
      <w:r>
        <w:rPr/>
        <w:t xml:space="preserve">Les bassins utilisés en rénovation qui pour la plupart prennent appui sur l'ancienne structure. </w:t>
      </w:r>
    </w:p>
    <w:p>
      <w:pPr/>
      <w:r>
        <w:rPr/>
        <w:t xml:space="preserve">La profondeur d'eau maximale admissible pour chaque type de conception doit être définie.</w:t>
      </w:r>
    </w:p>
    <w:p>
      <w:pPr/>
      <w:r>
        <w:rPr/>
        <w:t xml:space="preserve">Les bassins sont construits dans des piscines extérieures, couvertes ou découvrables pour tous usages:•   natation sportive•   apprentissage et perfectionnement•   loisirs (réception de plongeoir ou toboggan, pataugeoire, bien-être, etc.),•   thérapeutique.•   Etc.</w:t>
      </w:r>
    </w:p>
    <w:p>
      <w:pPr/>
      <w:r>
        <w:rPr>
          <w:b/>
          <w:bCs/>
        </w:rPr>
        <w:t xml:space="preserve">Justification</w:t>
      </w:r>
    </w:p>
    <w:p>
      <w:pPr/>
      <w:r>
        <w:rPr/>
        <w:t xml:space="preserve">Fournir une Note de Calcul statique pour justifier les différentes conceptions des parois de bassin (auto-stable, appuyées en tête,...) et pour les configurations de hauteur d'eau courante et maximale.</w:t>
      </w:r>
    </w:p>
    <w:p>
      <w:pPr/>
      <w:r>
        <w:rPr/>
        <w:t xml:space="preserve">Le dimensionnement des éléments de stabilité du bassin doit être effectué suivant la norme NF EN 1993. Les charges appliquées doivent être déterminées selon sa partie 4-2 traitant des réservoirs et la norme 13451-1.</w:t>
      </w:r>
    </w:p>
    <w:p>
      <w:pPr/>
      <w:r>
        <w:rPr>
          <w:b/>
          <w:bCs/>
        </w:rPr>
        <w:t xml:space="preserve">Critères d'évaluation</w:t>
      </w:r>
    </w:p>
    <w:p>
      <w:pPr/>
      <w:r>
        <w:rPr/>
        <w:t xml:space="preserve">Le domaine d'emploi revendiqué de la partie DT doit être cohérent avec le domaine d'emploi accepté de la partie AT.</w:t>
      </w:r>
    </w:p>
    <w:p>
      <w:pPr/>
      <w:r>
        <w:rPr>
          <w:rStyle w:val="font_h1"/>
        </w:rPr>
        <w:t xml:space="preserve">2. Matériaux utilisés</w:t>
      </w:r>
    </w:p>
    <w:p>
      <w:pPr/>
      <w:r>
        <w:rPr/>
        <w:t xml:space="preserve">Validé par le Groupe Spécialisé le 20/11/2018</w:t>
      </w:r>
    </w:p>
    <w:p>
      <w:pPr/>
      <w:r>
        <w:rPr>
          <w:b/>
          <w:bCs/>
        </w:rPr>
        <w:t xml:space="preserve">Description</w:t>
      </w:r>
    </w:p>
    <w:p>
      <w:pPr/>
      <w:r>
        <w:rPr/>
        <w:t xml:space="preserve">Le choix entre les nuances d’acier inoxydable à employer dépend de l'usage prévu du bassin et notamment des exigences de résistance aux agressions chimiques qui en découlent. Pour une utilisation en nappe phréatique ou avec de l’eau thermale, de l’eau salée ou de l’eau de mer, il faut employer des alliages particuliers. Le choix de la nuance d’acier inoxydable est déterminé à partir de l’analyse des eaux effectuée en collaboration avec les laboratoires des fabricants de tôles d’acier inoxydable.</w:t>
      </w:r>
    </w:p>
    <w:p>
      <w:pPr/>
      <w:r>
        <w:rPr/>
        <w:t xml:space="preserve">Dans les conditions habituelles d'utilisation des bassin de piscine en acier inoxydable, les qualités de matériau suivantes sont retenues :•   1.4404 (AISI 316L) pour les parois de bassin, goulottes de débordement et fond de bassin</w:t>
      </w:r>
      <w:br/>
      <w:r>
        <w:rPr/>
        <w:t xml:space="preserve">•   1.4571 ou 14436 (316 Ti ou 316) pour le système de distribution d’eau filtrée ainsi que les accessoires de bassin</w:t>
      </w:r>
    </w:p>
    <w:p>
      <w:pPr/>
      <w:r>
        <w:rPr/>
        <w:t xml:space="preserve">Les certificats matières permettent de contrôler la nature des matériaux.</w:t>
      </w:r>
    </w:p>
    <w:p>
      <w:pPr/>
      <w:r>
        <w:rPr/>
        <w:t xml:space="preserve">Le béton de remblaiement doit être conforme à la norme NF EN 206/CN. Il peut être un béton léger obtenu par l’emploi de granulats légers (billes de schiste expansé ou d’argile expansée) et l’ajout éventuel d’adjuvant entraineur d’air, de classe de masse volumique D1,0 minimum et de classe de résistance à la compression LC8/9 au minimum.</w:t>
      </w:r>
    </w:p>
    <w:p>
      <w:pPr/>
      <w:r>
        <w:rPr>
          <w:b/>
          <w:bCs/>
        </w:rPr>
        <w:t xml:space="preserve">Critères d'évaluation</w:t>
      </w:r>
    </w:p>
    <w:p>
      <w:pPr/>
      <w:r>
        <w:rPr/>
        <w:t xml:space="preserve">Les conditions habituelles d'utilisation sont définies ci-dessous :</w:t>
      </w:r>
    </w:p>
    <w:p>
      <w:pPr/>
      <w:r>
        <w:rPr/>
        <w:t xml:space="preserve">Eau de baignade :•   pH entre 6,9 et 7,5•   dureté inférieure ou égale à 10°TH•   Chlorure : concentration inférieure à 500mg/L•   Chlore : concentration entre 0,8 mg/L (minimum pour une eau de baignade) et 1,0 mg/L (maximum admissible pour la nuance 316L)</w:t>
      </w:r>
    </w:p>
    <w:p>
      <w:pPr/>
      <w:r>
        <w:rPr/>
        <w:t xml:space="preserve">Matériau de remblai en contact avec le bassin•   Chlorure inférieur à 0,1%•   Sulfate inférieur à 0,3%•   Fe : aucune présence décelable à l’état pur•   FeO inférieur à 1,0%•   Fe2O3 inférieur 5,0%</w:t>
      </w:r>
    </w:p>
    <w:p>
      <w:pPr/>
      <w:r>
        <w:rPr>
          <w:rStyle w:val="font_h1"/>
        </w:rPr>
        <w:t xml:space="preserve">3. Conception et dimensionnement</w:t>
      </w:r>
    </w:p>
    <w:p>
      <w:pPr>
        <w:ind w:left="720" w:right="0"/>
      </w:pPr>
      <w:r>
        <w:rPr>
          <w:rStyle w:val="font_h2"/>
        </w:rPr>
        <w:t xml:space="preserve">3.1. Conception et dimensionnement du bassin</w:t>
      </w:r>
    </w:p>
    <w:p>
      <w:pPr/>
      <w:r>
        <w:rPr/>
        <w:t xml:space="preserve">Validé par le Groupe Spécialisé le 31/12/2024</w:t>
      </w:r>
    </w:p>
    <w:p>
      <w:pPr/>
      <w:r>
        <w:rPr>
          <w:b/>
          <w:bCs/>
        </w:rPr>
        <w:t xml:space="preserve">Description</w:t>
      </w:r>
    </w:p>
    <w:p>
      <w:pPr/>
      <w:r>
        <w:rPr/>
        <w:t xml:space="preserve">Les bassins sont conçus de manière à respecter les exigences suivantes :•   Étanchéité du bassin par la soudure des éléments entre eux.•   Conformité à la norme NF EN 15288-1 : Piscines exigence de sécurité pour la conception.•   Respect des dimensions et tolérances selon les objectifs du projet. Ces tolérances sont celles imposées par la Fédération Internationale de Natation (FINA) si un bassin est homologué pour la pratique de la natation sportive.•   Goulottes de débordement et éléments de construction isolés (prise de doigt sur le bord du bassin, marchepieds de repos, échelles d’accès, escaliers, rampes, fonds mobiles, plots de départs, pièces de raccordement au système de traitement de l’eau du bassin, éléments intégrés pour jeux, etc.) conformes aux réglementations en vigueur et en particulier à la norme NF EN 13451.</w:t>
      </w:r>
    </w:p>
    <w:p>
      <w:pPr/>
      <w:r>
        <w:rPr/>
        <w:t xml:space="preserve">En fonction du mode de construction retenu, le bureau d’étude interne du titulaire (obligatoirement) dimensionne les éléments constructifs et fournit les descentes de charges au BET Structure de la maîtrise d’œuvre. Les descentes de charges fournies (valeurs et implantation des charges) doivent permettre le dimensionnement des fondations et/ou du gros œuvre en relation avec les résultats de l'étude géotechnique (lorsqu'elle est nécessaire). Les solutions de coques de bassin en habillage de structure en béton ne nécessitent pas d’étude spécifique concernant la stabilité des éléments en acier inoxydable; la stabilité étant assurée par les calculs de structure du gros œuvre.Les calculs concernant les éléments hydrauliques doivent être effectués par [le bureau d’étude interne du titulaire] ou [le bureau d'étude indépendant désigné par le titulaire] à partir des données indiquées par le BET Fluides de la maîtrise d’œuvre.</w:t>
      </w:r>
    </w:p>
    <w:p>
      <w:pPr/>
      <w:r>
        <w:rPr/>
        <w:t xml:space="preserve">La norme suivie pour la justification des éléments du bassin est la norme NF EN 1993, calcul des structures en acier et de sa partie 1.4 annexes pour les structures en acier inoxydable. Les charges appliquées sont estimées selon sa partie 4-2 traitant des réservoirs et la norme 13451-1.Les abords du bassin (les plages) doivent être conçus afin de ne pas ramener de charges verticales en tête des parois.Le fond de bassin, constitué de tôles soudées, n’a qu’une fonction d’étanchéité ; aucune résistance à la flexion n’est nécessaire.</w:t>
      </w:r>
    </w:p>
    <w:p>
      <w:pPr/>
      <w:r>
        <w:rPr/>
        <w:t xml:space="preserve">Afin d'évaluer la résistance à long terme des plages de bassin, il a été décidé de mettre en place des essais de résistance au cisaillement sur les principes de la norme NF EN 12317-2 dans deux configurations :•   Adhérence initiale ;•   Adhérence après vieillissement.Principe des essaisLes essais devront démontrer la capacité de l'encollage entre la bande d'étanchéité et la piscine inox à reprendre les efforts et mouvement durant la vide de l'ouvrage. Critère de validation des résultats : La valeur moyenne des mesures doit être supérieure ou égale à 0,5 MPa pour une rupture adhésive. Dans le cas d’une rupture cohésive dans la bande d’étanchéité, aucune résistance particulière n’est attendue.</w:t>
      </w:r>
    </w:p>
    <w:p>
      <w:pPr>
        <w:ind w:left="720" w:right="0"/>
      </w:pPr>
      <w:r>
        <w:rPr>
          <w:rStyle w:val="font_h2"/>
        </w:rPr>
        <w:t xml:space="preserve">3.2. Performances du Terrain et fondations</w:t>
      </w:r>
    </w:p>
    <w:p>
      <w:pPr/>
      <w:r>
        <w:rPr/>
        <w:t xml:space="preserve">Validé par le Groupe Spécialisé le 20/11/2018</w:t>
      </w:r>
    </w:p>
    <w:p>
      <w:pPr/>
      <w:r>
        <w:rPr>
          <w:b/>
          <w:bCs/>
        </w:rPr>
        <w:t xml:space="preserve">Description</w:t>
      </w:r>
    </w:p>
    <w:p>
      <w:pPr/>
      <w:r>
        <w:rPr/>
        <w:t xml:space="preserve">Le terrain d’assise des fondations périphériques et la couche de forme et son sol support doivent faire l’objet d’une étude géotechnique permettant notamment, de quantifier les tassements différentiels et de définir la nécessité ou non d’un drainage périphérique. Le Titulaire doit définir qui prend en charge l'étude géotechnique (habituellement, il s'agit du Maître d'Ouvrage).</w:t>
      </w:r>
    </w:p>
    <w:p>
      <w:pPr/>
      <w:r>
        <w:rPr/>
        <w:t xml:space="preserve">Le Titulaire doit décrire les différentes solutions et dispositions constructives associées concernant les fondations et matériaux supports pour les parois et le fond du bassin. Les fondations supportant les parois sont généralement des longrines en béton armé débordant à l'intérieur du bassin; la largeur de débord minimale doit être définie. Le matériau support des plaques composant le fond du bassin peut être une dalle en béton armé (dans le cas d'une fondation radier) ou une chape sur matériau de remblai ou directement en matériaux concassés (granulométrie 4/8 mm au maximum). </w:t>
      </w:r>
    </w:p>
    <w:p>
      <w:pPr/>
      <w:r>
        <w:rPr/>
        <w:t xml:space="preserve">Quel que soit la nature du support, le tassement différentiel maximum entre le fond de bassin et les pieds des parois doit être limité à 2 cm afin de ne pas entraver l'écoulement de l'eau en cas de vidange et ne pas entrainer de contraintes trop importantes dans les soudures au niveau des pieds de parois.En outre, les fondations des murs périphériques doivent être conçues de façon à limiter les tassements différentiels à moins de 1 centimètre sur la longueur du bassin.</w:t>
      </w:r>
    </w:p>
    <w:p>
      <w:pPr/>
      <w:r>
        <w:rPr/>
        <w:t xml:space="preserve">Le Titulaire doit fixer les tolérances acceptables [habituellement +/-1,5 cm] concernant l'arase supérieure (altimétrie et planéité) des fondations lui permettant d'atteindre la tolérance déclarée [habituellement +/-2 mm]  sur l'arase supérieure des goulottes de débordement (altimétrie et horizontalité).</w:t>
      </w:r>
    </w:p>
    <w:p>
      <w:pPr/>
      <w:r>
        <w:rPr/>
        <w:t xml:space="preserve">Afin de s'affranchir du risque de soulèvement du bassin vide, le Titulaire doit définir les solutions qu'il prévoie dans les cas où la la nappe phréatique est susceptible de monter au dessus du fond du bassin (par exemple l’installation de clapets automatiques pour équilibrer les pressions).</w:t>
      </w:r>
    </w:p>
    <w:p>
      <w:pPr/>
      <w:r>
        <w:rPr>
          <w:b/>
          <w:bCs/>
        </w:rPr>
        <w:t xml:space="preserve">Justification</w:t>
      </w:r>
    </w:p>
    <w:p>
      <w:pPr/>
      <w:r>
        <w:rPr/>
        <w:t xml:space="preserve">Des valeurs de tassements différentiels plus faibles ne peuvent pas être revendiquées par le titulaire, car elles sont très difficilement atteignables; sauf si celui-ci maîtrise la réalisation des fondations et démontre qu'il est capable d'atteindre de telles valeurs.</w:t>
      </w:r>
    </w:p>
    <w:p>
      <w:pPr>
        <w:ind w:left="720" w:right="0"/>
      </w:pPr>
      <w:r>
        <w:rPr>
          <w:rStyle w:val="font_h2"/>
        </w:rPr>
        <w:t xml:space="preserve">3.3. Parois du bassin</w:t>
      </w:r>
    </w:p>
    <w:p>
      <w:pPr/>
      <w:r>
        <w:rPr/>
        <w:t xml:space="preserve">Validé par le Groupe Spécialisé le 20/11/2018</w:t>
      </w:r>
    </w:p>
    <w:p>
      <w:pPr/>
      <w:r>
        <w:rPr>
          <w:b/>
          <w:bCs/>
        </w:rPr>
        <w:t xml:space="preserve">Description</w:t>
      </w:r>
    </w:p>
    <w:p>
      <w:pPr/>
      <w:r>
        <w:rPr/>
        <w:t xml:space="preserve">Le Titulaire doit décrire les différents types de conception des parois structurelles ou d'habillage.</w:t>
      </w:r>
    </w:p>
    <w:p>
      <w:pPr/>
      <w:r>
        <w:rPr/>
        <w:t xml:space="preserve">Les parois verticales structurelles dont la stabilité est assurée par les nervures verticales, avec ou sans jambe de force, soudées sur la face arrière des tôles constituant la coque du bassin peuvent être utilisées :•   pour les bassins enterrés, les efforts latéraux sont alors repris par des jambes de forces s’appuyant sur la fondation périphérique•   pour les bassins contre galerie technique, les efforts latéraux sont alors repris par des consoles fixées sous les dalles des plages. Les plages elles mêmes devant être soutenues par une structure gros-œuvre et ne devant pas apporter de charges verticales en tête de parois.•   pour la rénovation ou la transformation d’anciens bassins dans lesquels cette paroi est posée à l’intérieur de l’existant, les efforts latéraux sont alors repris soit par des béquilles soit par des consoles en appui sur les anciens murs. </w:t>
      </w:r>
    </w:p>
    <w:p>
      <w:pPr/>
      <w:r>
        <w:rPr/>
        <w:t xml:space="preserve">Les parois verticales d'habillage sont faites de tôles plaquées sur un mur existant. Elles peuvent être utilisées :•   pour la réhabilitation d’anciens bassins. Leur faible épaisseur permet de conserver les dimensions homologuées pour les compétitions, si besoin est il est possible, en piquant le vieux carrelage, de regagner 1 à 1,5cm de chaque côté du bassin.•   pour les bassins neufs contre galerie technique lorsque les plages sont soutenues par des murs périphériques. C’est murs ne servent que de soutènement, leur calcul ne doit donc pas être conduit "à fissuration très préjudiciable", l’étanchéité étant assurée par la tôle d'acier inoxydable.•   pour les parties de bassins dont la profondeur dépasse [X m; valeur à définir par le titulaire].</w:t>
      </w:r>
    </w:p>
    <w:p>
      <w:pPr/>
      <w:r>
        <w:rPr/>
        <w:t xml:space="preserve">La jonction entre les parois autoportantes et les parois en habillage est possible.La conception et les disposition constructives prévues pour la réalisation de bassin de grande profondeur (supérieure à 4,0m) doivent être décrite.Les parois verticales peuvent être droites ou en courbes. Le Titulaire doit préciser le rayon de courbure minimal qu'il est capable de réaliser pour des parois surmontées de goulottes de débordement.</w:t>
      </w:r>
    </w:p>
    <w:p>
      <w:pPr/>
      <w:r>
        <w:rPr>
          <w:b/>
          <w:bCs/>
        </w:rPr>
        <w:t xml:space="preserve">Justification</w:t>
      </w:r>
    </w:p>
    <w:p>
      <w:pPr/>
      <w:r>
        <w:rPr/>
        <w:t xml:space="preserve">Fournir des plans d'exécution pour les parties courbes avec la courbure maximale visée.</w:t>
      </w:r>
    </w:p>
    <w:p>
      <w:pPr/>
      <w:r>
        <w:rPr/>
        <w:t xml:space="preserve">Fournir des schémas présentant la conception des différents types de parois.</w:t>
      </w:r>
    </w:p>
    <w:p>
      <w:pPr/>
      <w:r>
        <w:rPr>
          <w:b/>
          <w:bCs/>
        </w:rPr>
        <w:t xml:space="preserve">Critères d'évaluation</w:t>
      </w:r>
    </w:p>
    <w:p>
      <w:pPr/>
      <w:r>
        <w:rPr/>
        <w:t xml:space="preserve">La conception des différents types de parois doit être cohérente avec les hypothèses structurelles définies dans la note de calcul associée (voir §3.1).</w:t>
      </w:r>
    </w:p>
    <w:p>
      <w:pPr>
        <w:ind w:left="720" w:right="0"/>
      </w:pPr>
      <w:r>
        <w:rPr>
          <w:rStyle w:val="font_h2"/>
        </w:rPr>
        <w:t xml:space="preserve">3.4. Fond de bassin</w:t>
      </w:r>
    </w:p>
    <w:p>
      <w:pPr/>
      <w:r>
        <w:rPr/>
        <w:t xml:space="preserve">Validé par le Groupe Spécialisé le 20/11/2018</w:t>
      </w:r>
    </w:p>
    <w:p>
      <w:pPr/>
      <w:r>
        <w:rPr>
          <w:b/>
          <w:bCs/>
        </w:rPr>
        <w:t xml:space="preserve">Description</w:t>
      </w:r>
    </w:p>
    <w:p>
      <w:pPr/>
      <w:r>
        <w:rPr/>
        <w:t xml:space="preserve">Les tôles de fond en inox sont non portantes et s’appuient sur la couche de forme. Leur épaisseur est de [X mm à définir par le titulaire; habituellement 1,5 mm]. Elles sont soudées sur le bas des parois verticales, sur les caniveaux et entre elles. Les jonctions s’effectuent à recouvrement afin que la tôle inférieure protège le cordon de soudure.</w:t>
      </w:r>
    </w:p>
    <w:p>
      <w:pPr/>
      <w:r>
        <w:rPr/>
        <w:t xml:space="preserve">La résistance au glissement doit être conforme à la norme NF EN 13451-1+A1</w:t>
      </w:r>
    </w:p>
    <w:p>
      <w:pPr>
        <w:ind w:left="720" w:right="0"/>
      </w:pPr>
      <w:r>
        <w:rPr>
          <w:rStyle w:val="font_h2"/>
        </w:rPr>
        <w:t xml:space="preserve">3.5. Têtes de paroi et jonctions avec les plages</w:t>
      </w:r>
    </w:p>
    <w:p>
      <w:pPr/>
      <w:r>
        <w:rPr/>
        <w:t xml:space="preserve">Validé par le Groupe Spécialisé le 09/07/2020</w:t>
      </w:r>
    </w:p>
    <w:p>
      <w:pPr/>
      <w:r>
        <w:rPr>
          <w:b/>
          <w:bCs/>
        </w:rPr>
        <w:t xml:space="preserve">Description</w:t>
      </w:r>
    </w:p>
    <w:p>
      <w:pPr/>
      <w:r>
        <w:rPr/>
        <w:t xml:space="preserve">Le Titulaire doit décrire les goulottes de débordement et la jonction de celles-ci avec les parois structurelles et d’habillage.En réhabilitation, si la solution de la goulotte surélevée n’est pas retenue, il convient de prévoir le sciage et la démolition des têtes de parois de l’ancien bassin. Le bureau d’étude structure doit alors déterminer si la réalisation d’un chaînage périphérique est nécessaire à la stabilité de l’existant. La goulotte est alors fixée sur le dessus des parois existantes.</w:t>
      </w:r>
    </w:p>
    <w:p>
      <w:pPr/>
      <w:r>
        <w:rPr/>
        <w:t xml:space="preserve">Le profil de goulotte est dimensionné en fonction de l’hydraulicité prévue pour le bassin. A section égale il peut être plus ou moins large et plus ou moins profond.</w:t>
      </w:r>
    </w:p>
    <w:p>
      <w:pPr/>
      <w:r>
        <w:rPr/>
        <w:t xml:space="preserve">Le plus souvent positionnée en affleurement des plages la goulotte de débordement peut également être surélevée. Un revêtement en carrelage ou en dalles de terrasse peut y être fixé du côté des plages. Les déformations différentielles entre le bassin de piscine en acier inoxydable (en particulier les goulottes de débordement) et les plages de quelque nature qu'elles soient doivent être libérées. Des schémas présentant les différentes conceptions possible de ce joint sont fournis en annexe au DT.</w:t>
      </w:r>
    </w:p>
    <w:p>
      <w:pPr/>
      <w:r>
        <w:rPr/>
        <w:t xml:space="preserve">Les pièces habituellement à sceller sur les plages telles que les manchons de potelets ou autres ancrages, peuvent être soudées directement sur la coque en acier inoxydable ou dans la goulotte. Ceci simplifie les travaux sur les plages et élimine les eaux stagnant dans les embases.La signalétique peut-être incorporée aux grilles de goulottes.</w:t>
      </w:r>
    </w:p>
    <w:p>
      <w:pPr/>
      <w:r>
        <w:rPr/>
        <w:t xml:space="preserve">Des détails d’étanchéité de carrelage doivent être ajoutés dans le Dossier Technique pour le traitement de la jonction avec la plage. Ces dernières devront être « validées » via une consultation du rapporteur du GS n°13.</w:t>
      </w:r>
    </w:p>
    <w:p>
      <w:pPr/>
      <w:r>
        <w:rPr>
          <w:b/>
          <w:bCs/>
        </w:rPr>
        <w:t xml:space="preserve">Justification</w:t>
      </w:r>
    </w:p>
    <w:p>
      <w:pPr/>
      <w:r>
        <w:rPr/>
        <w:t xml:space="preserve">Fournir des schémas représentant le traitement des jonctions entre le bassin et les plages.</w:t>
      </w:r>
    </w:p>
    <w:p>
      <w:pPr/>
      <w:r>
        <w:rPr/>
        <w:t xml:space="preserve">Fournir des schémas des goulottes de débordement et de leur fixation au reste du bassin. Attention l'exemple joint ne doit pas être utilisé tel quel car il est la propriété d'un demandeur.</w:t>
      </w:r>
    </w:p>
    <w:p>
      <w:pPr/>
      <w:r>
        <w:rPr/>
        <w:t xml:space="preserve">Fournir des essais de traction entre la bande d’étanchéité et le support en inox. La valeur minimale à atteindre est de 1 N/mm² en se basant sur la norme NF EN 12004-1.</w:t>
      </w:r>
    </w:p>
    <w:p>
      <w:pPr/>
      <w:r>
        <w:rPr>
          <w:b/>
          <w:bCs/>
        </w:rPr>
        <w:t xml:space="preserve">Critères d'évaluation</w:t>
      </w:r>
    </w:p>
    <w:p>
      <w:pPr/>
      <w:r>
        <w:rPr/>
        <w:t xml:space="preserve">Concernant la goulotte de débordement l'exemple de description ci-dessous permet d'évaluer si la géométrie prévue est fonctionnelle:"La partie supérieure de la paroi verticale se termine par un plan incliné dont l’angle d’entrée dans l’eau est inférieur à 30° et dont la largeur est de 5 à 10cm. Cette zone sert à la stabilisation de l’eau (réfraction des ondes). L’angle supérieur doit être positionné avec une grande précision. La tolérance pour sa mise à niveau est de +/- 2 mm sur toute la périphérie du bassin. Ce bord déversoir situé environ 4 cm au dessus de la grille de goulotte sert également de prise pour les mains.Mis à part le ressaut nécessaire à l’appui de la grille, la paroi côté bassin du profil de goulotte est le plus linéaire possible et inclinée de 12° afin d’assurer un écoulement régulier de l’eau de débordement pour réduire les bruits de chute et éviter les nids à bactéries."</w:t>
      </w:r>
    </w:p>
    <w:p>
      <w:pPr/>
      <w:r>
        <w:rPr/>
        <w:t xml:space="preserve">Concernant la description du traitement des jonctions entre le bassin et les plages un exemple de schéma présentant une solution réputée satisfaisante est joint. Lorsqu'il existe un doute sur la solution définie par le titulaire il convient de consulter le rapporteur du GS 5.2. Le GS 3.3 est en mesure d'imposer une solution réputée satisfaisante au titulaire, si nécessaire, car la réalisation de la jonction du bassin avec les plages n'est en général pas réalisée par ce dernier.</w:t>
      </w:r>
    </w:p>
    <w:p>
      <w:pPr>
        <w:ind w:left="720" w:right="0"/>
      </w:pPr>
      <w:r>
        <w:rPr>
          <w:rStyle w:val="font_h2"/>
        </w:rPr>
        <w:t xml:space="preserve">3.6. Intégration d'équipements spéciaux</w:t>
      </w:r>
    </w:p>
    <w:p>
      <w:pPr/>
      <w:r>
        <w:rPr/>
        <w:t xml:space="preserve">Validé par le Groupe Spécialisé le 20/11/2018</w:t>
      </w:r>
    </w:p>
    <w:p>
      <w:pPr/>
      <w:r>
        <w:rPr>
          <w:b/>
          <w:bCs/>
        </w:rPr>
        <w:t xml:space="preserve">Description</w:t>
      </w:r>
    </w:p>
    <w:p>
      <w:pPr/>
      <w:r>
        <w:rPr/>
        <w:t xml:space="preserve">Tous les équipements doivent être conformes aux normes NF EN 13451-1 à 11.</w:t>
      </w:r>
    </w:p>
    <w:p>
      <w:pPr/>
      <w:r>
        <w:rPr/>
        <w:t xml:space="preserve">Différents types d'équipements peuvent être intégrés aux bassins de piscines en acier inoxydable. Ici une liste non exhaustive:•   Hublots, projecteurs et haut-parleurs subaquatiques•   Buses de massage, de création de courant pour les rivières, de nage à contre-courant•   Toboggans•   Planchers et mur mobiles•   Ailerons de séparation et quai de départ déplaçables•   Boule ou autres machines à vagues•   Équipements de thérapie ou d'aquagym•   Mises à l'eau et rampes d'accès pour personnes à mobilité réduite</w:t>
      </w:r>
    </w:p>
    <w:p>
      <w:pPr/>
      <w:r>
        <w:rPr/>
        <w:t xml:space="preserve">Les équipements tels que les escaliers, les échelles engravées, les banquettes et couchettes à bulles, les îles et cloisons, les buses de massage ou de rivière et tous autres accessoires font partie intégrantes des bassins en acier inoxydable. Ces équipements peuvent être rapportés ultérieurement au bassin.</w:t>
      </w:r>
    </w:p>
    <w:p>
      <w:pPr/>
      <w:r>
        <w:rPr>
          <w:b/>
          <w:bCs/>
        </w:rPr>
        <w:t xml:space="preserve">Justification</w:t>
      </w:r>
    </w:p>
    <w:p>
      <w:pPr/>
      <w:r>
        <w:rPr/>
        <w:t xml:space="preserve">Fournir des schémas et des photographies d'exemples de réalisation et d'intégrations d'équipements spéciaux.</w:t>
      </w:r>
    </w:p>
    <w:p>
      <w:pPr>
        <w:ind w:left="720" w:right="0"/>
      </w:pPr>
      <w:r>
        <w:rPr>
          <w:rStyle w:val="font_h2"/>
        </w:rPr>
        <w:t xml:space="preserve">3.7. Mise à la terre</w:t>
      </w:r>
    </w:p>
    <w:p>
      <w:pPr/>
      <w:r>
        <w:rPr/>
        <w:t xml:space="preserve">Validé par le Groupe Spécialisé le 20/11/2018</w:t>
      </w:r>
    </w:p>
    <w:p>
      <w:pPr/>
      <w:r>
        <w:rPr>
          <w:b/>
          <w:bCs/>
        </w:rPr>
        <w:t xml:space="preserve">Description</w:t>
      </w:r>
    </w:p>
    <w:p>
      <w:pPr/>
      <w:r>
        <w:rPr/>
        <w:t xml:space="preserve">En raison de la conductivité électrique du matériau acier inoxydable, il est nécessaire d'effectuer une compensation de potentiel.Comme l’ensemble de la construction est soudé et comme toutes les pièces de la construction sont, ainsi, reliées entre elles de façon qu’elles conduisent l’électricité entre elles, un seul raccord au dispositif de compensation générale de potentiel suffit en règle générale.</w:t>
      </w:r>
    </w:p>
    <w:p>
      <w:pPr/>
      <w:r>
        <w:rPr>
          <w:rStyle w:val="font_h1"/>
        </w:rPr>
        <w:t xml:space="preserve">4. Fabrication et mise en œuvre</w:t>
      </w:r>
    </w:p>
    <w:p>
      <w:pPr>
        <w:ind w:left="720" w:right="0"/>
      </w:pPr>
      <w:r>
        <w:rPr>
          <w:rStyle w:val="font_h2"/>
        </w:rPr>
        <w:t xml:space="preserve">4.1. préfabrication</w:t>
      </w:r>
    </w:p>
    <w:p>
      <w:pPr/>
      <w:r>
        <w:rPr/>
        <w:t xml:space="preserve">Validé par le Groupe Spécialisé le 20/11/2018</w:t>
      </w:r>
    </w:p>
    <w:p>
      <w:pPr/>
      <w:r>
        <w:rPr>
          <w:b/>
          <w:bCs/>
        </w:rPr>
        <w:t xml:space="preserve">Description</w:t>
      </w:r>
    </w:p>
    <w:p>
      <w:pPr/>
      <w:r>
        <w:rPr/>
        <w:t xml:space="preserve">Une grande partie des éléments sont préfabriqués en usine par le titulaire et assemblés par soudage sur chantier. Le production doit faire l'objet d'un marquage CE selon la norme NF EN 1090-2.</w:t>
      </w:r>
    </w:p>
    <w:p>
      <w:pPr/>
      <w:r>
        <w:rPr/>
        <w:t xml:space="preserve">Le titulaire doit préciser les étapes de fabrication en usine (réception et stockage des matières premières ; découpe, pliage, assemblage ; finitions, passivation ; marquage, colisage, ...)</w:t>
      </w:r>
    </w:p>
    <w:p>
      <w:pPr/>
      <w:r>
        <w:rPr/>
        <w:t xml:space="preserve">Les bassins de piscine sont constitués essentiellement de 3 familles d’éléments :•   Les pièces préfabriquées en atelier :</w:t>
      </w:r>
    </w:p>
    <w:p>
      <w:pPr>
        <w:pPr/>
        <w:numPr>
          <w:ilvl w:val="0"/>
          <w:numId w:val="10"/>
        </w:numPr>
      </w:pPr>
      <w:r>
        <w:rPr/>
        <w:t xml:space="preserve">parois avec montants (ou bajoyers) : droits ou cintrés, largeur et hauteur maximales à définir par le titulaire </w:t>
      </w:r>
    </w:p>
    <w:p>
      <w:pPr>
        <w:pPr/>
        <w:numPr>
          <w:ilvl w:val="0"/>
          <w:numId w:val="10"/>
        </w:numPr>
      </w:pPr>
      <w:r>
        <w:rPr/>
        <w:t xml:space="preserve">les goulottes de débordement, </w:t>
      </w:r>
    </w:p>
    <w:p>
      <w:pPr>
        <w:pPr/>
        <w:numPr>
          <w:ilvl w:val="0"/>
          <w:numId w:val="10"/>
        </w:numPr>
      </w:pPr>
      <w:r>
        <w:rPr/>
        <w:t xml:space="preserve">autres pièces tels que les regards de fond, escaliers ou bancs.•   Les tôles de fond (dimension maximales à définir par le titulaire).•   Les accessoires à intégrer au bassin :</w:t>
      </w:r>
    </w:p>
    <w:p>
      <w:pPr>
        <w:pPr/>
        <w:numPr>
          <w:ilvl w:val="0"/>
          <w:numId w:val="10"/>
        </w:numPr>
      </w:pPr>
      <w:r>
        <w:rPr/>
        <w:t xml:space="preserve">pièces de raccordement à l’installation de traitement d’eau</w:t>
      </w:r>
    </w:p>
    <w:p>
      <w:pPr>
        <w:pPr/>
        <w:numPr>
          <w:ilvl w:val="0"/>
          <w:numId w:val="10"/>
        </w:numPr>
      </w:pPr>
      <w:r>
        <w:rPr/>
        <w:t xml:space="preserve">incorporations : hublots d’éclairage subaquatique, crochet de ligne de nage, etc.</w:t>
      </w:r>
    </w:p>
    <w:p>
      <w:pPr>
        <w:ind w:left="720" w:right="0"/>
      </w:pPr>
      <w:r>
        <w:rPr>
          <w:rStyle w:val="font_h2"/>
        </w:rPr>
        <w:t xml:space="preserve">4.2. sites de production</w:t>
      </w:r>
    </w:p>
    <w:p>
      <w:pPr/>
      <w:r>
        <w:rPr/>
        <w:t xml:space="preserve">Validé par le Groupe Spécialisé le 20/11/2018</w:t>
      </w:r>
    </w:p>
    <w:p>
      <w:pPr/>
      <w:r>
        <w:rPr>
          <w:b/>
          <w:bCs/>
        </w:rPr>
        <w:t xml:space="preserve">Description</w:t>
      </w:r>
    </w:p>
    <w:p>
      <w:pPr/>
      <w:r>
        <w:rPr/>
        <w:t xml:space="preserve">Le titulaire doit afficher la liste exhaustive des sites de fabrication liés au procédé de bassin de piscine en acier inoxydable objet du présent AT.</w:t>
      </w:r>
    </w:p>
    <w:p>
      <w:pPr>
        <w:ind w:left="720" w:right="0"/>
      </w:pPr>
      <w:r>
        <w:rPr>
          <w:rStyle w:val="font_h2"/>
        </w:rPr>
        <w:t xml:space="preserve">4.3. travaux préalables incombant à d'autres intervenants</w:t>
      </w:r>
    </w:p>
    <w:p>
      <w:pPr/>
      <w:r>
        <w:rPr/>
        <w:t xml:space="preserve">Validé par le Groupe Spécialisé le 20/11/2018</w:t>
      </w:r>
    </w:p>
    <w:p>
      <w:pPr/>
      <w:r>
        <w:rPr>
          <w:b/>
          <w:bCs/>
        </w:rPr>
        <w:t xml:space="preserve">Description</w:t>
      </w:r>
    </w:p>
    <w:p>
      <w:pPr/>
      <w:r>
        <w:rPr/>
        <w:t xml:space="preserve">Les travaux incombant à d'autres intervenants que le titulaire diffèrent selon qu'il s'agit d'une construction neuve ou de la réhabilitation d’une piscine existante. Ces travaux, ainsi que les prescriptions particulières et les performances attendues doivent être précisés pour chaque chantier par le titulaire.Ces travaux regroupent les actions suivantes :•   Étude géotechnique et calcul de structure afin de dimensionner les fondations et le gros œuvre support du bassin•   Calcul de structure pour la vérification des supports existants dans le cas de rénovation•   Éventuels sciages, percements et démolitions de l'existant ainsi que création éventuelle de chaînages périphériques dans le cas de rénovation•   Remblaiement de la couche de forme sous les tôles de fond•   Réalisation des plages et du raccord étanche avec les goulottes de débordement tel que défini au §3.5•   Raccordement des canalisations de traitement d'eau sur les brides laissées en attente à l'extérieur du bassin•   Raccordement électrique pour les éléments comme les hauts parleurs ou projecteurs subaquatiques•   Analyse de l’eau de remplissage et de l’eau souterraine</w:t>
      </w:r>
    </w:p>
    <w:p>
      <w:pPr/>
      <w:r>
        <w:rPr/>
        <w:t xml:space="preserve">Les prescriptions générales sont les suivantes:•   Les matériaux de remblai ne doivent pas contenir de particules ferreuses•   Il faut éviter les travaux sur du fer/ de l'acier noir, tels que le découpage, le forage, les travaux à la meuleuse d’angle, etc. dans la zone du bassin en acier inoxydable (risque d’apparition de points de rouille)•   Il faut à tout prix éviter que les armatures, la tuyauterie galvanisée ou d'autres pièces métalliques n'entre en contact avec les éléments en inox•   Si les pièces en acier inoxydable sont salies par du béton, de la terre, des matériaux concassés, de la couleur et autres choses de ce genre, la personne qui a causé ces salissures doit les éliminer immédiatement (risque de formation de taches)•   Sur les chantiers qui sont exécutés pendant les mois d’hiver, les fondations doivent être construites voire protégées de telle façon qu’elles soient 100% anti-gélives.•   La tolérance de planéité et d'altimétrie pour la surface supérieure des fondations est de [+/-X cm; valeur à définir par le titulaire].•   Les fondations périphériques sont à réaliser sur un sol stable, la tolérance de l’arase supérieure des panneaux est de [+/-X mm; valeur à définir par le titulaire].•   Dans le cas de rénovation, toutes les arêtes de démolition dans la zone de tête de bassins anciens doivent être horizontales, soit en bétonnant dessus, soit en effectuant des traits de scie.•   Après le montage de la paroi du bassin, l’espace entre l'arête inférieure des parois du bassin et l’arête supérieure de la fondation doit être armé et bétonné en conformité avec les exigences statiques•   Lorsque le fond du bassin présente une forte pente, la couche de forme peut être réalisée en béton maigre en remplacement du remblai en concassé.•   L’espace entre l’arête inférieure de la goulotte de débordement et l’arête de la partie de paroi ancienne conservée doit être rempli de telle façon qu'aucun matériau de remplissage ne puisse pénétrer entre la partie ancienne et le nouveau revêtement des parois.•   Si nécessaire, les pièces d’insert du bassin, telles que des conduits enterrés, des siphons de sol, des fondations de fontaine, des gargouilles de fond, etc., doivent être calées avec du béton après le montage.•   Les remblais aux abords du bassin doivent être compactés uniquement au moyen d’un outillage léger et en faisant attention aux parois de bassin en acier inoxydable.•   La mise à la terre du bassin doit être réalisée et contrôlée par un électricien.</w:t>
      </w:r>
    </w:p>
    <w:p>
      <w:pPr>
        <w:ind w:left="720" w:right="0"/>
      </w:pPr>
      <w:r>
        <w:rPr>
          <w:rStyle w:val="font_h2"/>
        </w:rPr>
        <w:t xml:space="preserve">4.4. Mise en œuvre</w:t>
      </w:r>
    </w:p>
    <w:p>
      <w:pPr/>
      <w:r>
        <w:rPr/>
        <w:t xml:space="preserve">Validé par le Groupe Spécialisé le 20/11/2018</w:t>
      </w:r>
    </w:p>
    <w:p>
      <w:pPr/>
      <w:r>
        <w:rPr>
          <w:b/>
          <w:bCs/>
        </w:rPr>
        <w:t xml:space="preserve">Description</w:t>
      </w:r>
    </w:p>
    <w:p>
      <w:pPr/>
      <w:r>
        <w:rPr/>
        <w:t xml:space="preserve">Le titulaire doit définir les conditions de température minimale admissible pour le soudage des éléments sur chantier.Le titulaire doit décrire précisément toutes les étapes de mise en œuvre (positionnements, assemblages, réglages, finitions,...)</w:t>
      </w:r>
    </w:p>
    <w:p>
      <w:pPr/>
      <w:r>
        <w:rPr>
          <w:b/>
          <w:bCs/>
        </w:rPr>
        <w:t xml:space="preserve">Justification</w:t>
      </w:r>
    </w:p>
    <w:p>
      <w:pPr/>
      <w:r>
        <w:rPr/>
        <w:t xml:space="preserve">décrire les dispositions permettant de protéger le chantier des intempéries pendant la mise en œuvre.</w:t>
      </w:r>
    </w:p>
    <w:p>
      <w:pPr/>
      <w:r>
        <w:rPr>
          <w:rStyle w:val="font_h1"/>
        </w:rPr>
        <w:t xml:space="preserve">5. Qualité et Contrôles</w:t>
      </w:r>
    </w:p>
    <w:p>
      <w:pPr>
        <w:ind w:left="720" w:right="0"/>
      </w:pPr>
      <w:r>
        <w:rPr>
          <w:rStyle w:val="font_h2"/>
        </w:rPr>
        <w:t xml:space="preserve">5.1. Marquage CE</w:t>
      </w:r>
    </w:p>
    <w:p>
      <w:pPr/>
      <w:r>
        <w:rPr/>
        <w:t xml:space="preserve">Validé par le Groupe Spécialisé le 20/11/2018</w:t>
      </w:r>
    </w:p>
    <w:p>
      <w:pPr/>
      <w:r>
        <w:rPr>
          <w:b/>
          <w:bCs/>
        </w:rPr>
        <w:t xml:space="preserve">Description</w:t>
      </w:r>
    </w:p>
    <w:p>
      <w:pPr/>
      <w:r>
        <w:rPr/>
        <w:t xml:space="preserve">Le titulaire doit bénéficier d'un certificat de contrôle de production en usine de niveau 2+ associé au marque CE de sa production selon la NF EN 1090, pour chacun des sites de production définis au §4.2.</w:t>
      </w:r>
    </w:p>
    <w:p>
      <w:pPr>
        <w:ind w:left="720" w:right="0"/>
      </w:pPr>
      <w:r>
        <w:rPr>
          <w:rStyle w:val="font_h2"/>
        </w:rPr>
        <w:t xml:space="preserve">5.2. Qualité des soudures</w:t>
      </w:r>
    </w:p>
    <w:p>
      <w:pPr>
        <w:ind w:left="1440" w:right="0"/>
      </w:pPr>
      <w:r>
        <w:rPr>
          <w:rStyle w:val="font_h3"/>
        </w:rPr>
        <w:t xml:space="preserve">5.2.1. certifications</w:t>
      </w:r>
    </w:p>
    <w:p>
      <w:pPr/>
      <w:r>
        <w:rPr/>
        <w:t xml:space="preserve">Validé par le Groupe Spécialisé le 20/11/2018</w:t>
      </w:r>
    </w:p>
    <w:p>
      <w:pPr/>
      <w:r>
        <w:rPr>
          <w:b/>
          <w:bCs/>
        </w:rPr>
        <w:t xml:space="preserve">Description</w:t>
      </w:r>
    </w:p>
    <w:p>
      <w:pPr/>
      <w:r>
        <w:rPr/>
        <w:t xml:space="preserve">L’étanchéité des bassins de piscine en acier inoxydable est assurée par soudage. Les soudures sont exclusivement faites par les procédés de soudage TIG et MIG.Le métal d’apport doit être la même nuance que le métal à souder, ou compatible avec celui-ci. Pour les nuances mentionnées  au §2 le métal d’apport est de nuance 1.4404.Toutes les soudures sont réalisées par des soudeurs qualifiés (conformément à la norme NF EN 287-1 : 2010) selon des modes opératoires de soudages DMOS (conformément à la norme NF EN ISO 15607).</w:t>
      </w:r>
    </w:p>
    <w:p>
      <w:pPr>
        <w:ind w:left="1440" w:right="0"/>
      </w:pPr>
      <w:r>
        <w:rPr>
          <w:rStyle w:val="font_h3"/>
        </w:rPr>
        <w:t xml:space="preserve">5.2.2. Contrôles</w:t>
      </w:r>
    </w:p>
    <w:p>
      <w:pPr/>
      <w:r>
        <w:rPr/>
        <w:t xml:space="preserve">Validé par le Groupe Spécialisé le 20/11/2018</w:t>
      </w:r>
    </w:p>
    <w:p>
      <w:pPr/>
      <w:r>
        <w:rPr>
          <w:b/>
          <w:bCs/>
        </w:rPr>
        <w:t xml:space="preserve">Description</w:t>
      </w:r>
    </w:p>
    <w:p>
      <w:pPr/>
      <w:r>
        <w:rPr/>
        <w:t xml:space="preserve">Au cours des travaux de réalisation toutes les soudures sont soumises à plusieurs examens visuels :</w:t>
      </w:r>
    </w:p>
    <w:p>
      <w:pPr>
        <w:pPr/>
        <w:numPr>
          <w:ilvl w:val="0"/>
          <w:numId w:val="11"/>
        </w:numPr>
      </w:pPr>
      <w:r>
        <w:rPr/>
        <w:t xml:space="preserve">au cours de l´exécution de la soudure ;</w:t>
      </w:r>
    </w:p>
    <w:p>
      <w:pPr>
        <w:pPr/>
        <w:numPr>
          <w:ilvl w:val="0"/>
          <w:numId w:val="11"/>
        </w:numPr>
      </w:pPr>
      <w:r>
        <w:rPr/>
        <w:t xml:space="preserve">au cours du traitement ultérieur des soudures ;</w:t>
      </w:r>
    </w:p>
    <w:p>
      <w:pPr>
        <w:pPr/>
        <w:numPr>
          <w:ilvl w:val="0"/>
          <w:numId w:val="11"/>
        </w:numPr>
      </w:pPr>
      <w:r>
        <w:rPr/>
        <w:t xml:space="preserve">au cours du nettoyage final des bassins en acier inoxydable ;</w:t>
      </w:r>
    </w:p>
    <w:p>
      <w:pPr>
        <w:pPr/>
        <w:numPr>
          <w:ilvl w:val="0"/>
          <w:numId w:val="11"/>
        </w:numPr>
      </w:pPr>
      <w:r>
        <w:rPr/>
        <w:t xml:space="preserve">au cours du contrôle final.</w:t>
      </w:r>
    </w:p>
    <w:p>
      <w:pPr/>
      <w:r>
        <w:rPr/>
        <w:t xml:space="preserve">Le titulaire doit définir à quelles conditions les soudures sont-elles contrôlées par ressuage.Par exemple, lorsqu'il a été constaté d´éventuels points défectueux lors de l'examen visuel, ou bien pour l'intégralité des soudures réalisées.Les contrôles par ressuage doivent être effectués par le titulaire ou par un contrôleur extérieur disposant des agréments nécessaires (par exemple COFREND niveau 1 et 2).</w:t>
      </w:r>
    </w:p>
    <w:p>
      <w:pPr>
        <w:ind w:left="720" w:right="0"/>
      </w:pPr>
      <w:r>
        <w:rPr>
          <w:rStyle w:val="font_h2"/>
        </w:rPr>
        <w:t xml:space="preserve">5.3. Traçabilité et marquage des matériaux</w:t>
      </w:r>
    </w:p>
    <w:p>
      <w:pPr/>
      <w:r>
        <w:rPr/>
        <w:t xml:space="preserve">Validé par le Groupe Spécialisé le 20/11/2018</w:t>
      </w:r>
    </w:p>
    <w:p>
      <w:pPr/>
      <w:r>
        <w:rPr>
          <w:b/>
          <w:bCs/>
        </w:rPr>
        <w:t xml:space="preserve">Description</w:t>
      </w:r>
    </w:p>
    <w:p>
      <w:pPr/>
      <w:r>
        <w:rPr/>
        <w:t xml:space="preserve">Afin de garantir une traçabilité continue de la qualité des matériaux utilisés, le fournisseur marque toutes ses tôles avec les numéros d’identification du matériau et le numéro du lot. L’entreprise conserve cette traçabilité en frappant ces indications sur chaque pièce usinée devant être au contact de l’eau. Ces indications sont également reprises sur les plans et nomenclatures de production. Il est ainsi possible d’attester de la qualité du matériau utilisé, même après plusieurs années.Chaque plaque dispose d'un certificat du fournisseur d'acier inoxydable.</w:t>
      </w:r>
    </w:p>
    <w:p>
      <w:pPr/>
      <w:r>
        <w:rPr>
          <w:rStyle w:val="font_h1"/>
        </w:rPr>
        <w:t xml:space="preserve">6. Durabilité et entretien</w:t>
      </w:r>
    </w:p>
    <w:p>
      <w:pPr>
        <w:ind w:left="720" w:right="0"/>
      </w:pPr>
      <w:r>
        <w:rPr>
          <w:rStyle w:val="font_h2"/>
        </w:rPr>
        <w:t xml:space="preserve">6.1. Produits</w:t>
      </w:r>
    </w:p>
    <w:p>
      <w:pPr/>
      <w:r>
        <w:rPr/>
        <w:t xml:space="preserve">Validé par le Groupe Spécialisé le 20/11/2018</w:t>
      </w:r>
    </w:p>
    <w:p>
      <w:pPr/>
      <w:r>
        <w:rPr>
          <w:b/>
          <w:bCs/>
        </w:rPr>
        <w:t xml:space="preserve">Description</w:t>
      </w:r>
    </w:p>
    <w:p>
      <w:pPr/>
      <w:r>
        <w:rPr/>
        <w:t xml:space="preserve">Les produits utilisés (traitement de l’eau et nettoyage) doivent être compatibles avec les matériaux mis en œuvre (nuance d'acier et couche de passivation). La liste des produits non-autorisés est communiquée au maître d’ouvrage dans la "notice d'instruction pour l'exploitation et la maintenance". L’utilisation d’acide chlorhydrique ou fluorhydrique est strictement interdite, de même que l’usage de floculants chlorurés.Les conditions à respecter quant à l’eau de remplissage et l’environnement du bassin figurent au §2.</w:t>
      </w:r>
    </w:p>
    <w:p>
      <w:pPr>
        <w:ind w:left="720" w:right="0"/>
      </w:pPr>
      <w:r>
        <w:rPr>
          <w:rStyle w:val="font_h2"/>
        </w:rPr>
        <w:t xml:space="preserve">6.2. Nettoyage en période d'exploitation</w:t>
      </w:r>
    </w:p>
    <w:p>
      <w:pPr/>
      <w:r>
        <w:rPr/>
        <w:t xml:space="preserve">Validé par le Groupe Spécialisé le 20/11/2018</w:t>
      </w:r>
    </w:p>
    <w:p>
      <w:pPr/>
      <w:r>
        <w:rPr>
          <w:b/>
          <w:bCs/>
        </w:rPr>
        <w:t xml:space="preserve">Description</w:t>
      </w:r>
    </w:p>
    <w:p>
      <w:pPr/>
      <w:r>
        <w:rPr/>
        <w:t xml:space="preserve">Les parties immergées doivent être régulièrement nettoyées avec les outils habituels, la compatibilité entre outils et l'acier inoxydable doit être vérifiée.La zone de marnage (émergée ou immergée selon les moments) et les zones émergées subissant des éclaboussures doivent faire l’objet d’une attention particulière, un rinçage quotidien est recommandé.Les instructions de nettoyage en période d'exploitation doivent figurer dans la "notice d'instruction pour l'exploitation et la maintenance" fournie par la titulaire au Maître d'Ouvrage.</w:t>
      </w:r>
    </w:p>
    <w:p>
      <w:pPr>
        <w:ind w:left="720" w:right="0"/>
      </w:pPr>
      <w:r>
        <w:rPr>
          <w:rStyle w:val="font_h2"/>
        </w:rPr>
        <w:t xml:space="preserve">6.3. Vidanges periodiques</w:t>
      </w:r>
    </w:p>
    <w:p>
      <w:pPr/>
      <w:r>
        <w:rPr/>
        <w:t xml:space="preserve">Validé par le Groupe Spécialisé le 20/11/2018</w:t>
      </w:r>
    </w:p>
    <w:p>
      <w:pPr/>
      <w:r>
        <w:rPr>
          <w:b/>
          <w:bCs/>
        </w:rPr>
        <w:t xml:space="preserve">Description</w:t>
      </w:r>
    </w:p>
    <w:p>
      <w:pPr/>
      <w:r>
        <w:rPr/>
        <w:t xml:space="preserve">Lors des vidanges le nettoyage doit être complet et soigné, une passivation avant remplissage est recommandée. Le bassin ne doit rester vide que le temps nécessaire.L’utilisation de produits chimiques sur des tôles chauffées par le soleil est à éviter.Les prescriptions concernant les vidanges périodiques et les conditions de remplissage doivent figurer dans la "notice d'instruction pour l'exploitation et la maintenance" fournie par la titulaire au Maître d'Ouvrage.</w:t>
      </w:r>
    </w:p>
    <w:p>
      <w:pPr/>
      <w:r>
        <w:rPr>
          <w:rStyle w:val="font_h1"/>
        </w:rPr>
        <w:t xml:space="preserve">7. Normes</w:t>
      </w:r>
    </w:p>
    <w:p>
      <w:pPr/>
      <w:r>
        <w:rPr/>
        <w:t xml:space="preserve">Validé par le Groupe Spécialisé le 20/11/2018</w:t>
      </w:r>
    </w:p>
    <w:p>
      <w:pPr/>
      <w:r>
        <w:rPr>
          <w:b/>
          <w:bCs/>
        </w:rPr>
        <w:t xml:space="preserve">Description</w:t>
      </w:r>
    </w:p>
    <w:p>
      <w:pPr/>
      <w:r>
        <w:rPr/>
        <w:t xml:space="preserve">NF EN 15288-1Piscines partie 1 : exigence en matière de sécurité pour la conceptionNF EN 13451-1Equipement de piscine Partie 1 : exigences générales de sécurité et méthodes d’essais.NF EN 13451-2Equipement de piscine Partie 2 : exigences de sécurité et méthodes d’essai complémentaires spécifiques aux échelles, marches et mains courantes.NF EN 13451-3Equipement de piscine Partie 3 : exigences de sécurité et méthodes d’essai complémentaires spécifiques aux équipements de traitement d’eau.NF EN 13451-4Equipement de piscine Partie 4 : exigences de sécurité et méthodes d’essai complémentaires spécifiques aux plots départ.NF EN 13451-5Equipement de piscine Partie 5 : exigences de sécurité et méthodes d’essai complémentaires spécifiques aux lignes de nage.NF EN 13451-6Equipement de piscine Partie 6 : exigences de sécurité et méthodes d’essai complémentaires spécifiques aux plaques de touche.NF EN 13451-7Equipement de piscine Partie 7 : exigences de sécurité et méthodes d’essai complémentaires spécifiques aux buts de water-polo.NF EN 13451-8Equipement de piscine Partie 8 : exigences de sécurité et méthodes d’essai complémentaires spécifiques aux équipements de loisirs aquatiques.NF EN 13451-10Equipement de piscine Partie 10 : exigences de sécurité et méthodes d’essai complémentaires spécifiques aux plates-formes de plongée, plongeoirs et à l’équipement associé.NF EN 13451-11Equipement de piscine Partie 11 : exigences de sécurité et méthodes d’essai complémentaires spécifiques aux fonds mobiles de piscine et cloisons mobiles.NF EN 1990Base de calcul des structuresNF EN 1991-4Eurocode 1 actions sur les structures. Partie 4 silos et réservoirs.NF EN 1993Eurocode 3 calcul des structures en acierNF EN 1993-1-4Eurocode 3 calcul des structures en acier Partie 1-4 Règles générales. Règles supplémentaires pour les aciers inoxydables.NF EN 1993-4-2Eurocode 3 calcul des structures en acier. Partie 4.2 réservoirs.NF EN 10027-2Système de désignation des aciers. Partie 2 système numérique.NF EN 10088-1Aciers inoxydables-Partie 1 : Liste des aciers inoxydablesNF EN 10088-2Aciers inoxydables-Partie 2 : conditions techniques de livraisons des tôles et bandesNF EN 10088-3Aciers inoxydables-Partie 3 : conditions techniques de livraisons pour les demi-produits…NF EN 1090-2Exécutions des structures en acier et des structures en aluminium  Partie 2 Exigence technique pour les structures en acier.NF P 22-101-2/CNComplément national  à NF EN 1090-2NF E 81-051Travail des métaux Tôles gaufrées Dimensions et tolérances.NF EN 287-1Epreuve de qualification des soudeurs-Soudage par fusion- Partie 1 aciers.NF EN ISO 15607Descriptif et qualification d’un mode opératoire de soudage pour les matériaux métalliques. Règles générales.EN ISO 14731Coordination en soudage – Tâches et responsabilitésNF EN  ISO 9606-1Épreuve de qualification des soudeurs - Soudage par fusion - Partie 1 : aciersNF EN 206/CNBéton partie 1 : spécification, performances production et conformité</w:t>
      </w:r>
    </w:p>
    <w:p>
      <w:pPr/>
      <w:r>
        <w:rPr>
          <w:rStyle w:val="font_h1"/>
        </w:rPr>
        <w:t xml:space="preserve">8. Références</w:t>
      </w:r>
    </w:p>
    <w:p>
      <w:pPr/>
      <w:r>
        <w:rPr/>
        <w:t xml:space="preserve">Validé par le Groupe Spécialisé le 20/11/2018</w:t>
      </w:r>
    </w:p>
    <w:p>
      <w:pPr/>
      <w:r>
        <w:rPr>
          <w:b/>
          <w:bCs/>
        </w:rPr>
        <w:t xml:space="preserve">Description</w:t>
      </w:r>
    </w:p>
    <w:p>
      <w:pPr/>
      <w:r>
        <w:rPr/>
        <w:t xml:space="preserve">Le titulaire doit afficher la liste des principaux chantiers représentatifs du domaine d'emploi visé, en précisant pour chacun l'importance du chantier (par exemple la surface du projet), la date et le lieu de réalisation du projet.</w:t>
      </w:r>
    </w:p>
    <w:p>
      <w:pPr/>
      <w:r>
        <w:rPr>
          <w:rStyle w:val="font_h1"/>
        </w:rPr>
        <w:t xml:space="preserve">9. Annexes</w:t>
      </w:r>
    </w:p>
    <w:p>
      <w:pPr/>
      <w:r>
        <w:rPr/>
        <w:t xml:space="preserve">Validé par le Groupe Spécialisé le 20/11/2018</w:t>
      </w:r>
    </w:p>
    <w:p>
      <w:pPr/>
      <w:r>
        <w:rPr>
          <w:b/>
          <w:bCs/>
        </w:rPr>
        <w:t xml:space="preserve">Description</w:t>
      </w:r>
    </w:p>
    <w:p>
      <w:pPr/>
      <w:r>
        <w:rPr/>
        <w:t xml:space="preserve">Les annexes au DT doivent contenir :</w:t>
      </w:r>
    </w:p>
    <w:p>
      <w:pPr>
        <w:pPr/>
        <w:numPr>
          <w:ilvl w:val="0"/>
          <w:numId w:val="12"/>
        </w:numPr>
      </w:pPr>
      <w:r>
        <w:rPr/>
        <w:t xml:space="preserve">des schémas représentant le traitement des jonctions entre le bassin et les plages</w:t>
      </w:r>
    </w:p>
    <w:p>
      <w:pPr>
        <w:pPr/>
        <w:numPr>
          <w:ilvl w:val="0"/>
          <w:numId w:val="12"/>
        </w:numPr>
      </w:pPr>
      <w:r>
        <w:rPr/>
        <w:t xml:space="preserve">des schémas et figures décrivant les éléments préfabriqués, les assemblages et le procédé dans son ensemble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78A9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2E9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D51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76F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2026-06-01T12:51:33+02:00</dcterms:created>
  <dcterms:modified xsi:type="dcterms:W3CDTF">2026-06-01T12:51:33+02:00</dcterms:modified>
</cp:coreProperties>
</file>

<file path=docProps/custom.xml><?xml version="1.0" encoding="utf-8"?>
<Properties xmlns="http://schemas.openxmlformats.org/officeDocument/2006/custom-properties" xmlns:vt="http://schemas.openxmlformats.org/officeDocument/2006/docPropsVTypes"/>
</file>