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pour le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autorégulant.</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r>
        <w:rPr>
          <w:rStyle w:val="font_h1"/>
        </w:rPr>
        <w:t xml:space="preserve">3. Définition des matériaux constitutifs</w:t>
      </w:r>
    </w:p>
    <w:p>
      <w:pPr>
        <w:ind w:left="720" w:right="0"/>
      </w:pPr>
      <w:r>
        <w:rPr>
          <w:rStyle w:val="font_h2"/>
        </w:rPr>
        <w:t xml:space="preserve">3.1. Matériaux constitutifs</w:t>
      </w:r>
    </w:p>
    <w:p>
      <w:pPr/>
      <w:r>
        <w:rPr/>
        <w:t xml:space="preserve">Validé par le Groupe Spécialisé le 21/11/2019</w:t>
      </w:r>
    </w:p>
    <w:p>
      <w:pPr/>
      <w:r>
        <w:rPr>
          <w:b/>
          <w:bCs/>
        </w:rPr>
        <w:t xml:space="preserve">Description</w:t>
      </w:r>
    </w:p>
    <w:p>
      <w:pPr/>
      <w:r>
        <w:rPr/>
        <w:t xml:space="preserve">Décrire les caractéristiques des produits finis.</w:t>
      </w:r>
    </w:p>
    <w:p>
      <w:pPr/>
      <w:r>
        <w:rPr>
          <w:b/>
          <w:bCs/>
        </w:rPr>
        <w:t xml:space="preserve">Justification</w:t>
      </w:r>
    </w:p>
    <w:p>
      <w:pPr/>
      <w:r>
        <w:rPr/>
        <w:t xml:space="preserve">Essais par un organisme tiers de vérification de la puissance de sortie des échantillons :</w:t>
      </w:r>
    </w:p>
    <w:p>
      <w:pPr>
        <w:pPr/>
        <w:numPr>
          <w:ilvl w:val="0"/>
          <w:numId w:val="9"/>
        </w:numPr>
      </w:pPr>
      <w:r>
        <w:rPr/>
        <w:t xml:space="preserve">un type de ruban chauffant est prélevé tous les ans par le CSTB de préférence le jour de l’audit dans le stock de bobine ou envoyé par le demandeur/titulaire à la demande du CSTB, .      </w:t>
      </w:r>
    </w:p>
    <w:p>
      <w:pPr>
        <w:pPr/>
        <w:numPr>
          <w:ilvl w:val="0"/>
          <w:numId w:val="9"/>
        </w:numPr>
      </w:pPr>
      <w:r>
        <w:rPr/>
        <w:t xml:space="preserve">La production de ce ruban doit être de préférence de moins d’un an.    </w:t>
      </w:r>
    </w:p>
    <w:p>
      <w:pPr>
        <w:pPr/>
        <w:numPr>
          <w:ilvl w:val="0"/>
          <w:numId w:val="9"/>
        </w:numPr>
      </w:pPr>
      <w:r>
        <w:rPr/>
        <w:t xml:space="preserve">Chaque année, le type de ruban prélevé doit être différent des années précédentes jusqu’à ce que tous les modèles soient testés.</w:t>
      </w:r>
    </w:p>
    <w:p>
      <w:pPr>
        <w:pPr/>
        <w:numPr>
          <w:ilvl w:val="0"/>
          <w:numId w:val="9"/>
        </w:numPr>
      </w:pPr>
      <w:r>
        <w:rPr/>
        <w:t xml:space="preserve">Les essais réalisés sont relatifs aux performances thermiques des résistances de traçage en parallèle selon la norme NF EN-62395-1 de 2014 paragraphe 5.2.12, dans le laboratoire du CSTB.</w:t>
      </w:r>
    </w:p>
    <w:p>
      <w:pPr/>
      <w:r>
        <w:rPr>
          <w:b/>
          <w:bCs/>
        </w:rPr>
        <w:t xml:space="preserve">Critères d'évaluation</w:t>
      </w:r>
    </w:p>
    <w:p>
      <w:pPr/>
      <w:r>
        <w:rPr/>
        <w:t xml:space="preserve">Les échantillons doivent avoir maintenu un niveau de puissance compris entre plus 20 % et moins 25 % de la puissance mesurée initiale.</w:t>
      </w:r>
    </w:p>
    <w:p>
      <w:pPr/>
      <w:r>
        <w:rPr>
          <w:rStyle w:val="font_h1"/>
        </w:rPr>
        <w:t xml:space="preserve">4. Fabrication - Contrôles</w:t>
      </w:r>
    </w:p>
    <w:p>
      <w:pPr>
        <w:ind w:left="720" w:right="0"/>
      </w:pPr>
      <w:r>
        <w:rPr>
          <w:rStyle w:val="font_h2"/>
        </w:rPr>
        <w:t xml:space="preserve">4.1. Fabrication des rubans</w:t>
      </w:r>
    </w:p>
    <w:p>
      <w:pPr/>
      <w:r>
        <w:rPr/>
        <w:t xml:space="preserve">Validé par le Groupe Spécialisé le 21/11/2019</w:t>
      </w:r>
    </w:p>
    <w:p>
      <w:pPr/>
      <w:r>
        <w:rPr>
          <w:b/>
          <w:bCs/>
        </w:rPr>
        <w:t xml:space="preserve">Description</w:t>
      </w:r>
    </w:p>
    <w:p>
      <w:pPr/>
      <w:r>
        <w:rPr/>
        <w:t xml:space="preserve">Décrire le process de fabrication :</w:t>
      </w:r>
    </w:p>
    <w:p>
      <w:pPr>
        <w:pPr/>
        <w:numPr>
          <w:ilvl w:val="0"/>
          <w:numId w:val="10"/>
        </w:numPr>
      </w:pPr>
      <w:r>
        <w:rPr/>
        <w:t xml:space="preserve">le contrôle des matières premières et sur produits finis. </w:t>
      </w:r>
    </w:p>
    <w:p>
      <w:pPr>
        <w:pPr/>
        <w:numPr>
          <w:ilvl w:val="0"/>
          <w:numId w:val="10"/>
        </w:numPr>
      </w:pPr>
      <w:r>
        <w:rPr/>
        <w:t xml:space="preserve">les équipements de contrôle, de mesure et d’essais.</w:t>
      </w:r>
    </w:p>
    <w:p>
      <w:pPr>
        <w:pPr/>
        <w:numPr>
          <w:ilvl w:val="0"/>
          <w:numId w:val="10"/>
        </w:numPr>
      </w:pPr>
      <w:r>
        <w:rPr/>
        <w:t xml:space="preserve">les essais éventuels en usine.    </w:t>
      </w:r>
    </w:p>
    <w:p>
      <w:pPr>
        <w:pPr/>
        <w:numPr>
          <w:ilvl w:val="0"/>
          <w:numId w:val="10"/>
        </w:numPr>
      </w:pPr>
      <w:r>
        <w:rPr/>
        <w:t xml:space="preserve">le marquage.</w:t>
      </w:r>
    </w:p>
    <w:p>
      <w:pPr>
        <w:pPr/>
        <w:numPr>
          <w:ilvl w:val="0"/>
          <w:numId w:val="10"/>
        </w:numPr>
      </w:pPr>
      <w:r>
        <w:rPr/>
        <w:t xml:space="preserve">le stockage des matières premières et des produits finis.   </w:t>
      </w:r>
    </w:p>
    <w:p>
      <w:pPr/>
      <w:r>
        <w:rPr/>
        <w:t xml:space="preserve">Décrire le plan qualité associé :</w:t>
      </w:r>
    </w:p>
    <w:p>
      <w:pPr>
        <w:pPr/>
        <w:numPr>
          <w:ilvl w:val="0"/>
          <w:numId w:val="11"/>
        </w:numPr>
      </w:pPr>
      <w:r>
        <w:rPr/>
        <w:t xml:space="preserve">Présentation de l’organigramme des responsabilités et fonctionnement de la société.    </w:t>
      </w:r>
    </w:p>
    <w:p>
      <w:pPr>
        <w:pPr/>
        <w:numPr>
          <w:ilvl w:val="0"/>
          <w:numId w:val="11"/>
        </w:numPr>
      </w:pPr>
      <w:r>
        <w:rPr/>
        <w:t xml:space="preserve">Maîtrise des documents et enregistrement des résultats de contrôle pour des lots fabriqués de produits sous ATEC.</w:t>
      </w:r>
    </w:p>
    <w:p>
      <w:pPr>
        <w:pPr/>
        <w:numPr>
          <w:ilvl w:val="0"/>
          <w:numId w:val="11"/>
        </w:numPr>
      </w:pPr>
      <w:r>
        <w:rPr/>
        <w:t xml:space="preserve">Traçabilité   </w:t>
      </w:r>
    </w:p>
    <w:p>
      <w:pPr>
        <w:pPr/>
        <w:numPr>
          <w:ilvl w:val="0"/>
          <w:numId w:val="11"/>
        </w:numPr>
      </w:pPr>
      <w:r>
        <w:rPr/>
        <w:t xml:space="preserve">Actions correctives et préventives   </w:t>
      </w:r>
    </w:p>
    <w:p>
      <w:pPr>
        <w:pPr/>
        <w:numPr>
          <w:ilvl w:val="0"/>
          <w:numId w:val="11"/>
        </w:numPr>
      </w:pPr>
      <w:r>
        <w:rPr/>
        <w:t xml:space="preserve">Traitement des produits non conformes   </w:t>
      </w:r>
    </w:p>
    <w:p>
      <w:pPr>
        <w:pPr/>
        <w:numPr>
          <w:ilvl w:val="0"/>
          <w:numId w:val="11"/>
        </w:numPr>
      </w:pPr>
      <w:r>
        <w:rPr/>
        <w:t xml:space="preserve">Réclamations clients</w:t>
      </w:r>
    </w:p>
    <w:p>
      <w:pPr/>
      <w:r>
        <w:rPr>
          <w:b/>
          <w:bCs/>
        </w:rPr>
        <w:t xml:space="preserve">Justification</w:t>
      </w:r>
    </w:p>
    <w:p>
      <w:pPr/>
      <w:r>
        <w:rPr>
          <w:b/>
          <w:bCs/>
        </w:rPr>
        <w:t xml:space="preserve">Suivi par un organisme tiers du plan qualité et de la production :</w:t>
      </w:r>
    </w:p>
    <w:p>
      <w:pPr>
        <w:pPr/>
        <w:numPr>
          <w:ilvl w:val="0"/>
          <w:numId w:val="12"/>
        </w:numPr>
      </w:pPr>
      <w:r>
        <w:rPr/>
        <w:t xml:space="preserve">L'organisme d’audit est le CSTB,   </w:t>
      </w:r>
    </w:p>
    <w:p>
      <w:pPr>
        <w:pPr/>
        <w:numPr>
          <w:ilvl w:val="0"/>
          <w:numId w:val="12"/>
        </w:numPr>
      </w:pPr>
      <w:r>
        <w:rPr/>
        <w:t xml:space="preserve">Un audit du site de production est réalisé tous les ans.</w:t>
      </w:r>
    </w:p>
    <w:p>
      <w:pPr>
        <w:pPr/>
        <w:numPr>
          <w:ilvl w:val="0"/>
          <w:numId w:val="12"/>
        </w:numPr>
      </w:pPr>
      <w:r>
        <w:rPr/>
        <w:t xml:space="preserve">Lors du contrôle de fabrication en instruction et lors des suivis d’Avis technique, la production de produits doit être en cours. L’auditeur doit avoir la possibilité d’observer les étapes de fabrication en fonctionnement et incluant de préférence l’étape d’extrusion de la couche conductrice, voire également de la couche de protection.</w:t>
      </w:r>
    </w:p>
    <w:p>
      <w:pPr/>
      <w:r>
        <w:rPr>
          <w:b/>
          <w:bCs/>
        </w:rPr>
        <w:t xml:space="preserve">Critères d'évaluation</w:t>
      </w:r>
    </w:p>
    <w:p>
      <w:pPr/>
      <w:r>
        <w:rPr/>
        <w:t xml:space="preserve">Fabrication, contrôle qualité et catalogue des produits de la société conformes aux descriptions de l’Avis Technique.</w:t>
      </w:r>
    </w:p>
    <w:p>
      <w:pPr>
        <w:ind w:left="720" w:right="0"/>
      </w:pPr>
      <w:r>
        <w:rPr>
          <w:rStyle w:val="font_h2"/>
        </w:rPr>
        <w:t xml:space="preserve">4.2. Contrôles</w:t>
      </w:r>
    </w:p>
    <w:p>
      <w:pPr>
        <w:ind w:left="720" w:right="0"/>
      </w:pPr>
      <w:r>
        <w:rPr>
          <w:rStyle w:val="font_h2"/>
        </w:rPr>
        <w:t xml:space="preserve">4.3. Marquage - Conditionnement</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p>
      <w:pPr/>
      <w:r>
        <w:rPr>
          <w:rStyle w:val="font_h1"/>
        </w:rPr>
        <w:t xml:space="preserve">5. Description de la mise en œuvre</w:t>
      </w:r>
    </w:p>
    <w:p>
      <w:pPr>
        <w:ind w:left="720" w:right="0"/>
      </w:pPr>
      <w:r>
        <w:rPr>
          <w:rStyle w:val="font_h2"/>
        </w:rPr>
        <w:t xml:space="preserve">5.1. Considérations générales</w:t>
      </w:r>
    </w:p>
    <w:p>
      <w:pPr>
        <w:ind w:left="720" w:right="0"/>
      </w:pPr>
      <w:r>
        <w:rPr>
          <w:rStyle w:val="font_h2"/>
        </w:rPr>
        <w:t xml:space="preserve">5.2. Réseaux d'eau chaude sanitaire</w:t>
      </w:r>
    </w:p>
    <w:p>
      <w:pPr>
        <w:ind w:left="720" w:right="0"/>
      </w:pPr>
      <w:r>
        <w:rPr>
          <w:rStyle w:val="font_h2"/>
        </w:rPr>
        <w:t xml:space="preserve">5.3. Protection contre le gel des canalisations</w:t>
      </w:r>
    </w:p>
    <w:p>
      <w:pPr>
        <w:ind w:left="720" w:right="0"/>
      </w:pPr>
      <w:r>
        <w:rPr>
          <w:rStyle w:val="font_h2"/>
        </w:rPr>
        <w:t xml:space="preserve">5.4. Protection contre le gel de chéneaux et tuyaux de descente</w:t>
      </w:r>
    </w:p>
    <w:p>
      <w:pPr>
        <w:ind w:left="720" w:right="0"/>
      </w:pPr>
      <w:r>
        <w:rPr>
          <w:rStyle w:val="font_h2"/>
        </w:rPr>
        <w:t xml:space="preserve">5.5. Traçage de canalisations</w:t>
      </w:r>
    </w:p>
    <w:p>
      <w:pPr>
        <w:ind w:left="720" w:right="0"/>
      </w:pPr>
      <w:r>
        <w:rPr>
          <w:rStyle w:val="font_h2"/>
        </w:rPr>
        <w:t xml:space="preserve">5.6. Mise en place sur toitures ou gouttières</w:t>
      </w:r>
    </w:p>
    <w:p>
      <w:pPr/>
      <w:r>
        <w:rPr>
          <w:rStyle w:val="font_h1"/>
        </w:rPr>
        <w:t xml:space="preserve">6. Raccordements électriques</w:t>
      </w:r>
    </w:p>
    <w:p>
      <w:pPr/>
      <w:r>
        <w:rPr>
          <w:rStyle w:val="font_h1"/>
        </w:rPr>
        <w:t xml:space="preserve">7. Protections électriques</w:t>
      </w:r>
    </w:p>
    <w:p>
      <w:pPr/>
      <w:r>
        <w:rPr>
          <w:rStyle w:val="font_h1"/>
        </w:rPr>
        <w:t xml:space="preserve">8. Calorifugeage – signalisation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9D6B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DD53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A9F5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2975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2025-02-05T07:02:04+01:00</dcterms:created>
  <dcterms:modified xsi:type="dcterms:W3CDTF">2025-02-05T07:02:04+01:00</dcterms:modified>
</cp:coreProperties>
</file>

<file path=docProps/custom.xml><?xml version="1.0" encoding="utf-8"?>
<Properties xmlns="http://schemas.openxmlformats.org/officeDocument/2006/custom-properties" xmlns:vt="http://schemas.openxmlformats.org/officeDocument/2006/docPropsVTypes"/>
</file>