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bacs acier collaborants</w:t>
      </w:r>
    </w:p>
    <w:p>
      <w:pPr/>
      <w:r>
        <w:rPr>
          <w:rStyle w:val="font_h1"/>
        </w:rPr>
        <w:t xml:space="preserve">1. Principe et domaine d'emploi</w:t>
      </w:r>
    </w:p>
    <w:p>
      <w:pPr>
        <w:ind w:left="720" w:right="0"/>
      </w:pPr>
      <w:r>
        <w:rPr>
          <w:rStyle w:val="font_h2"/>
        </w:rPr>
        <w:t xml:space="preserve">1.1. Principe</w:t>
      </w:r>
    </w:p>
    <w:p>
      <w:pPr/>
      <w:r>
        <w:rPr/>
        <w:t xml:space="preserve">Validé par le Groupe Spécialisé le 11/02/2021</w:t>
      </w:r>
    </w:p>
    <w:p>
      <w:pPr/>
      <w:r>
        <w:rPr>
          <w:b/>
          <w:bCs/>
        </w:rPr>
        <w:t xml:space="preserve">Description</w:t>
      </w:r>
    </w:p>
    <w:p>
      <w:pPr/>
      <w:r>
        <w:rPr/>
        <w:t xml:space="preserve">Décrire succinctement le principe du procédé et préciser l'épaisseur des bacs en aciers, l'épaisseur minimale et maximale des planchers.</w:t>
      </w:r>
    </w:p>
    <w:p>
      <w:pPr/>
      <w:r>
        <w:rPr/>
        <w:t xml:space="preserve">Les éléments donnés ci-après le sont par référence au CPT planchers collaborants, Cahier 3730 V2, disponible sur le site de la CCFAT (www.ccfat.fr). Toute disposition non couverte par le CPT planchers collaborant (Cahier 3730_V2) sera justifiée. Il peut également être fait référence au document  </w:t>
      </w:r>
      <w:r>
        <w:rPr>
          <w:i/>
          <w:iCs/>
        </w:rPr>
        <w:t xml:space="preserve">Recommandations professionnelles pour la conception et la réalisation de planchers collaborants acier béton - Neuf - Rénovation</w:t>
      </w:r>
      <w:r>
        <w:rPr/>
        <w:t xml:space="preserve"> publié en juillet 2020.</w:t>
      </w:r>
    </w:p>
    <w:p>
      <w:pPr/>
      <w:r>
        <w:rPr/>
        <w:t xml:space="preserve">Remarque préalable : lorsque la présente liste se réfère à une certification équivalente, la solution de certification équivalente devra être détaillée et il conviendra d’apporter les éléments de preuve qui sont nécessaires à l’appréciation de l’équivalence.</w:t>
      </w:r>
    </w:p>
    <w:p>
      <w:pPr>
        <w:ind w:left="720" w:right="0"/>
      </w:pPr>
      <w:r>
        <w:rPr>
          <w:rStyle w:val="font_h2"/>
        </w:rPr>
        <w:t xml:space="preserve">1.2. Domaine d'emploi</w:t>
      </w:r>
    </w:p>
    <w:p>
      <w:pPr/>
      <w:r>
        <w:rPr/>
        <w:t xml:space="preserve">Validé par le Groupe Spécialisé le 08/10/2019</w:t>
      </w:r>
    </w:p>
    <w:p>
      <w:pPr/>
      <w:r>
        <w:rPr>
          <w:b/>
          <w:bCs/>
        </w:rPr>
        <w:t xml:space="preserve">Description</w:t>
      </w:r>
    </w:p>
    <w:p>
      <w:pPr/>
      <w:r>
        <w:rPr/>
        <w:t xml:space="preserve">Définir le domaine d'emploi revendiqué.</w:t>
      </w:r>
    </w:p>
    <w:p>
      <w:pPr/>
      <w:r>
        <w:rPr>
          <w:b/>
          <w:bCs/>
        </w:rPr>
        <w:t xml:space="preserve">Justification</w:t>
      </w:r>
    </w:p>
    <w:p>
      <w:pPr/>
      <w:r>
        <w:rPr/>
        <w:t xml:space="preserve">Liste de références représentatives de réalisations en précisant pour chacune d’elles la situation, la quantité (surface de planchers), le type et la date de mise en service de l’ouvrage, ainsi que les coordonnées des principaux intervenants.</w:t>
      </w:r>
    </w:p>
    <w:p>
      <w:pPr>
        <w:ind w:left="720" w:right="0"/>
      </w:pPr>
      <w:r>
        <w:rPr>
          <w:rStyle w:val="font_h2"/>
        </w:rPr>
        <w:t xml:space="preserve">1.3. Identification des bacs</w:t>
      </w:r>
    </w:p>
    <w:p>
      <w:pPr/>
      <w:r>
        <w:rPr/>
        <w:t xml:space="preserve">Validé par le Groupe Spécialisé le 08/10/2019</w:t>
      </w:r>
    </w:p>
    <w:p>
      <w:pPr/>
      <w:r>
        <w:rPr>
          <w:b/>
          <w:bCs/>
        </w:rPr>
        <w:t xml:space="preserve">Description</w:t>
      </w:r>
    </w:p>
    <w:p>
      <w:pPr/>
      <w:r>
        <w:rPr/>
        <w:t xml:space="preserve">Décrire le moyen d'identification et de traçage des bacs et marquage CE (par défaut NF EN 1090-1) si concerné.</w:t>
      </w:r>
    </w:p>
    <w:p>
      <w:pPr/>
      <w:r>
        <w:rPr>
          <w:rStyle w:val="font_h1"/>
        </w:rPr>
        <w:t xml:space="preserve">2. Définition des matériaux</w:t>
      </w:r>
    </w:p>
    <w:p>
      <w:pPr/>
      <w:r>
        <w:rPr/>
        <w:t xml:space="preserve">Validé par le Groupe Spécialisé le 08/10/2019</w:t>
      </w:r>
    </w:p>
    <w:p>
      <w:pPr/>
      <w:r>
        <w:rPr>
          <w:b/>
          <w:bCs/>
        </w:rPr>
        <w:t xml:space="preserve">Description</w:t>
      </w:r>
    </w:p>
    <w:p>
      <w:pPr/>
      <w:r>
        <w:rPr/>
        <w:t xml:space="preserve">Décrire les matériaux constitutifs du procédé. Par exemple nuances d’acier (NF EN 1993-1-3) et types de protection de la tôle des bacs, résistance caractéristique du béton (NF EN 1992-1-1), aciers complémentaires, appuis, autres accessoires et fixations.</w:t>
      </w:r>
    </w:p>
    <w:p>
      <w:pPr/>
      <w:r>
        <w:rPr>
          <w:rStyle w:val="font_h1"/>
        </w:rPr>
        <w:t xml:space="preserve">3. Description des profils de bacs</w:t>
      </w:r>
    </w:p>
    <w:p>
      <w:pPr/>
      <w:r>
        <w:rPr/>
        <w:t xml:space="preserve">Validé par le Groupe Spécialisé le 08/10/2019</w:t>
      </w:r>
    </w:p>
    <w:p>
      <w:pPr/>
      <w:r>
        <w:rPr>
          <w:b/>
          <w:bCs/>
        </w:rPr>
        <w:t xml:space="preserve">Description</w:t>
      </w:r>
    </w:p>
    <w:p>
      <w:pPr/>
      <w:r>
        <w:rPr/>
        <w:t xml:space="preserve">Caractéristiques des profils de bacs visés :</w:t>
      </w:r>
    </w:p>
    <w:p>
      <w:pPr>
        <w:pPr/>
        <w:numPr>
          <w:ilvl w:val="0"/>
          <w:numId w:val="9"/>
        </w:numPr>
      </w:pPr>
      <w:r>
        <w:rPr/>
        <w:t xml:space="preserve">Épaisseurs nominales galvanisées, t, de tôle visées et épaisseurs nues de calcul ;</w:t>
      </w:r>
    </w:p>
    <w:p>
      <w:pPr>
        <w:pPr/>
        <w:numPr>
          <w:ilvl w:val="0"/>
          <w:numId w:val="9"/>
        </w:numPr>
      </w:pPr>
      <w:r>
        <w:rPr/>
        <w:t xml:space="preserve">Section A</w:t>
      </w:r>
      <w:r>
        <w:rPr>
          <w:vertAlign w:val="subscript"/>
        </w:rPr>
        <w:t xml:space="preserve">p</w:t>
      </w:r>
      <w:r>
        <w:rPr/>
        <w:t xml:space="preserve">, poids propre g</w:t>
      </w:r>
      <w:r>
        <w:rPr>
          <w:vertAlign w:val="subscript"/>
        </w:rPr>
        <w:t xml:space="preserve">0</w:t>
      </w:r>
      <w:r>
        <w:rPr/>
        <w:t xml:space="preserve">, volume v des vides de nervures.</w:t>
      </w:r>
    </w:p>
    <w:p>
      <w:pPr/>
      <w:r>
        <w:rPr/>
        <w:t xml:space="preserve">Une gamme de profils est définie par l’épaisseur de la tôle, la section A</w:t>
      </w:r>
      <w:r>
        <w:rPr>
          <w:vertAlign w:val="subscript"/>
        </w:rPr>
        <w:t xml:space="preserve">p</w:t>
      </w:r>
      <w:r>
        <w:rPr/>
        <w:t xml:space="preserve">, poids propre g</w:t>
      </w:r>
      <w:r>
        <w:rPr>
          <w:vertAlign w:val="subscript"/>
        </w:rPr>
        <w:t xml:space="preserve">0</w:t>
      </w:r>
      <w:r>
        <w:rPr/>
        <w:t xml:space="preserve">, le volume v des vides de nervures, et la disposition du crantage/bossage. A l’intérieure d’une même gamme seule l’épaisseur de la tôle peut varier.</w:t>
      </w:r>
    </w:p>
    <w:p>
      <w:pPr/>
      <w:r>
        <w:rPr>
          <w:b/>
          <w:bCs/>
        </w:rPr>
        <w:t xml:space="preserve">Justification</w:t>
      </w:r>
    </w:p>
    <w:p>
      <w:pPr/>
      <w:r>
        <w:rPr/>
        <w:t xml:space="preserve">Caractéristiques géométriques et schémas cotés des bacs : coupe du ou des profils de bac, détail des bossages et des pré-perçages éventuels.</w:t>
      </w:r>
    </w:p>
    <w:p>
      <w:pPr/>
      <w:r>
        <w:rPr>
          <w:rStyle w:val="font_h1"/>
        </w:rPr>
        <w:t xml:space="preserve">4. Fabrication et contrôle</w:t>
      </w:r>
    </w:p>
    <w:p>
      <w:pPr/>
      <w:r>
        <w:rPr/>
        <w:t xml:space="preserve">Validé par le Groupe Spécialisé le 08/10/2019</w:t>
      </w:r>
    </w:p>
    <w:p>
      <w:pPr/>
      <w:r>
        <w:rPr>
          <w:b/>
          <w:bCs/>
        </w:rPr>
        <w:t xml:space="preserve">Description</w:t>
      </w:r>
    </w:p>
    <w:p>
      <w:pPr/>
      <w:r>
        <w:rPr/>
        <w:t xml:space="preserve">Identifier le site de fabrication.</w:t>
      </w:r>
    </w:p>
    <w:p>
      <w:pPr/>
      <w:r>
        <w:rPr/>
        <w:t xml:space="preserve">Décrire les contrôles réalisés et les tolérances associées sur les matières premières, en cours de fabrication et sur produit fini.</w:t>
      </w:r>
    </w:p>
    <w:p>
      <w:pPr/>
      <w:r>
        <w:rPr/>
        <w:t xml:space="preserve">Décrire le marquage des produits.</w:t>
      </w:r>
    </w:p>
    <w:p>
      <w:pPr/>
      <w:r>
        <w:rPr/>
        <w:t xml:space="preserve">Préciser la nature du contrôle par tierce partie.</w:t>
      </w:r>
    </w:p>
    <w:p>
      <w:pPr/>
      <w:r>
        <w:rPr>
          <w:b/>
          <w:bCs/>
        </w:rPr>
        <w:t xml:space="preserve">Justification</w:t>
      </w:r>
    </w:p>
    <w:p>
      <w:pPr/>
      <w:r>
        <w:rPr/>
        <w:t xml:space="preserve">Déclaration des tolérances de fabrication (§ 2.2 du CPT, Cahier 3730_V2) :</w:t>
      </w:r>
    </w:p>
    <w:p>
      <w:pPr>
        <w:pPr/>
        <w:numPr>
          <w:ilvl w:val="0"/>
          <w:numId w:val="10"/>
        </w:numPr>
      </w:pPr>
      <w:r>
        <w:rPr/>
        <w:t xml:space="preserve">Si certification CSTBat/QB ou équivalent associée, à déclarer les tolérances sur la profondeur des bossages, la hauteur des ondes, la largeur du bac ;</w:t>
      </w:r>
    </w:p>
    <w:p>
      <w:pPr>
        <w:pPr/>
        <w:numPr>
          <w:ilvl w:val="0"/>
          <w:numId w:val="10"/>
        </w:numPr>
      </w:pPr>
      <w:r>
        <w:rPr/>
        <w:t xml:space="preserve">Si pas de certification associée, critères dimensionnels minimaux (NF EN 508-1 et NF EN 508-3).</w:t>
      </w:r>
    </w:p>
    <w:p>
      <w:pPr/>
      <w:r>
        <w:rPr>
          <w:rStyle w:val="font_h1"/>
        </w:rPr>
        <w:t xml:space="preserve">5. Conception et dimensionnement</w:t>
      </w:r>
    </w:p>
    <w:p>
      <w:pPr>
        <w:ind w:left="720" w:right="0"/>
      </w:pPr>
      <w:r>
        <w:rPr>
          <w:rStyle w:val="font_h2"/>
        </w:rPr>
        <w:t xml:space="preserve">5.1. Phase coulage</w:t>
      </w:r>
    </w:p>
    <w:p>
      <w:pPr/>
      <w:r>
        <w:rPr/>
        <w:t xml:space="preserve">Validé par le Groupe Spécialisé le 08/10/2019</w:t>
      </w:r>
    </w:p>
    <w:p>
      <w:pPr/>
      <w:r>
        <w:rPr>
          <w:b/>
          <w:bCs/>
        </w:rPr>
        <w:t xml:space="preserve">Description</w:t>
      </w:r>
    </w:p>
    <w:p>
      <w:pPr/>
      <w:r>
        <w:rPr/>
        <w:t xml:space="preserve">Valeurs de calcul déclarées dans l’Avis Technique (issues du calcul ou des essais décrits en Annexes du CPT, Cahier 3730_V2, et calculées suivant §1.1 du CPT).</w:t>
      </w:r>
    </w:p>
    <w:p>
      <w:pPr/>
      <w:r>
        <w:rPr/>
        <w:t xml:space="preserve">Performance en phase coulage (pour chaque paramètre variable autorisé en Annexes du CPT : épaisseur, largeur d’appui) :</w:t>
      </w:r>
    </w:p>
    <w:p>
      <w:pPr>
        <w:pPr/>
        <w:numPr>
          <w:ilvl w:val="0"/>
          <w:numId w:val="11"/>
        </w:numPr>
      </w:pPr>
      <w:r>
        <w:rPr/>
        <w:t xml:space="preserve">I</w:t>
      </w:r>
      <w:r>
        <w:rPr>
          <w:vertAlign w:val="subscript"/>
        </w:rPr>
        <w:t xml:space="preserve">eff</w:t>
      </w:r>
      <w:r>
        <w:rPr/>
        <w:t xml:space="preserve"> : moment d’inertie efficace (§ 1.1.2.1 CPT) ;</w:t>
      </w:r>
    </w:p>
    <w:p>
      <w:pPr>
        <w:pPr/>
        <w:numPr>
          <w:ilvl w:val="0"/>
          <w:numId w:val="11"/>
        </w:numPr>
      </w:pPr>
      <w:r>
        <w:rPr/>
        <w:t xml:space="preserve">M</w:t>
      </w:r>
      <w:r>
        <w:rPr>
          <w:vertAlign w:val="subscript"/>
        </w:rPr>
        <w:t xml:space="preserve">t,Rd</w:t>
      </w:r>
      <w:r>
        <w:rPr/>
        <w:t xml:space="preserve"> : moment résistant en travée (§ 1.1.2.2.2 CPT) ;</w:t>
      </w:r>
    </w:p>
    <w:p>
      <w:pPr>
        <w:pPr/>
        <w:numPr>
          <w:ilvl w:val="0"/>
          <w:numId w:val="11"/>
        </w:numPr>
      </w:pPr>
      <w:r>
        <w:rPr/>
        <w:t xml:space="preserve">M</w:t>
      </w:r>
      <w:r>
        <w:rPr>
          <w:vertAlign w:val="subscript"/>
        </w:rPr>
        <w:t xml:space="preserve">reag</w:t>
      </w:r>
      <w:r>
        <w:rPr/>
        <w:t xml:space="preserve">(θ) : moment réagissant sur appui du fait de la rotule plastique (§1.1.2.3.2 CPT) ;</w:t>
      </w:r>
    </w:p>
    <w:p>
      <w:pPr>
        <w:pPr/>
        <w:numPr>
          <w:ilvl w:val="0"/>
          <w:numId w:val="11"/>
        </w:numPr>
      </w:pPr>
      <w:r>
        <w:rPr/>
        <w:t xml:space="preserve">(M</w:t>
      </w:r>
      <w:r>
        <w:rPr>
          <w:vertAlign w:val="subscript"/>
        </w:rPr>
        <w:t xml:space="preserve">max</w:t>
      </w:r>
      <w:r>
        <w:rPr/>
        <w:t xml:space="preserve"> ; R</w:t>
      </w:r>
      <w:r>
        <w:rPr>
          <w:vertAlign w:val="subscript"/>
        </w:rPr>
        <w:t xml:space="preserve">min</w:t>
      </w:r>
      <w:r>
        <w:rPr/>
        <w:t xml:space="preserve">) et (M</w:t>
      </w:r>
      <w:r>
        <w:rPr>
          <w:vertAlign w:val="subscript"/>
        </w:rPr>
        <w:t xml:space="preserve">min</w:t>
      </w:r>
      <w:r>
        <w:rPr/>
        <w:t xml:space="preserve"> ; R</w:t>
      </w:r>
      <w:r>
        <w:rPr>
          <w:vertAlign w:val="subscript"/>
        </w:rPr>
        <w:t xml:space="preserve">max</w:t>
      </w:r>
      <w:r>
        <w:rPr/>
        <w:t xml:space="preserve">) : interaction moment/réaction d’appui, au moins deux couples de valeurs (§1.1221 et §1.1231 du CPT) ;</w:t>
      </w:r>
    </w:p>
    <w:p>
      <w:pPr>
        <w:pPr/>
        <w:numPr>
          <w:ilvl w:val="0"/>
          <w:numId w:val="11"/>
        </w:numPr>
      </w:pPr>
      <w:r>
        <w:rPr/>
        <w:t xml:space="preserve">V</w:t>
      </w:r>
      <w:r>
        <w:rPr>
          <w:vertAlign w:val="subscript"/>
        </w:rPr>
        <w:t xml:space="preserve">Rd,u</w:t>
      </w:r>
      <w:r>
        <w:rPr/>
        <w:t xml:space="preserve"> : résistance pour la réaction d’appui d’extrémité (§1.1223 et § 1.1234 CPT).</w:t>
      </w:r>
    </w:p>
    <w:p>
      <w:pPr/>
      <w:r>
        <w:rPr>
          <w:b/>
          <w:bCs/>
        </w:rPr>
        <w:t xml:space="preserve">Justification</w:t>
      </w:r>
    </w:p>
    <w:p>
      <w:pPr/>
      <w:r>
        <w:rPr/>
        <w:t xml:space="preserve">Justification des portées de coulages (un exemple de calcul pour un profil).</w:t>
      </w:r>
    </w:p>
    <w:p>
      <w:pPr/>
      <w:r>
        <w:rPr/>
        <w:t xml:space="preserve">Cas avec dimensionnement par calcul suivant EC3-1.3, EC4-1-1 et CPT :</w:t>
      </w:r>
    </w:p>
    <w:p>
      <w:pPr>
        <w:pPr/>
        <w:numPr>
          <w:ilvl w:val="0"/>
          <w:numId w:val="12"/>
        </w:numPr>
      </w:pPr>
      <w:r>
        <w:rPr/>
        <w:t xml:space="preserve">Note de calcul (en phase de coulage : dimensionnement suivant EC3-1.3 et CPT ; en phase mixte : dimensionnement suivant EC4-1-1, CPT et résultats d’essais)</w:t>
      </w:r>
    </w:p>
    <w:p>
      <w:pPr/>
      <w:r>
        <w:rPr/>
        <w:t xml:space="preserve">Cas avec dimensionnement par qualification expérimentale selon les annexes du CPT planchers collaborants (Cahier 3730_V2). Essais sur les épaisseurs extrêmes, l’interpolation linéaire entre ces valeurs extrêmes est admise :</w:t>
      </w:r>
    </w:p>
    <w:p>
      <w:pPr>
        <w:pPr/>
        <w:numPr>
          <w:ilvl w:val="0"/>
          <w:numId w:val="13"/>
        </w:numPr>
      </w:pPr>
      <w:r>
        <w:rPr/>
        <w:t xml:space="preserve">Rapports d’essais :</w:t>
      </w:r>
    </w:p>
    <w:p>
      <w:pPr>
        <w:pPr/>
        <w:numPr>
          <w:ilvl w:val="1"/>
          <w:numId w:val="13"/>
        </w:numPr>
      </w:pPr>
      <w:r>
        <w:rPr/>
        <w:t xml:space="preserve">Flexion travée simple (§ A1-3 CPT)</w:t>
      </w:r>
    </w:p>
    <w:p>
      <w:pPr>
        <w:pPr/>
        <w:numPr>
          <w:ilvl w:val="1"/>
          <w:numId w:val="13"/>
        </w:numPr>
      </w:pPr>
      <w:r>
        <w:rPr/>
        <w:t xml:space="preserve">Appui intermédiaire (§ A1-4 CPT)</w:t>
      </w:r>
    </w:p>
    <w:p>
      <w:pPr>
        <w:pPr/>
        <w:numPr>
          <w:ilvl w:val="1"/>
          <w:numId w:val="13"/>
        </w:numPr>
      </w:pPr>
      <w:r>
        <w:rPr/>
        <w:t xml:space="preserve">Appui d’extrémité (§ A1-5 CPT)</w:t>
      </w:r>
    </w:p>
    <w:p>
      <w:pPr>
        <w:pPr/>
        <w:numPr>
          <w:ilvl w:val="0"/>
          <w:numId w:val="13"/>
        </w:numPr>
      </w:pPr>
      <w:r>
        <w:rPr/>
        <w:t xml:space="preserve">Interprétation des résultats menant à donner des valeurs de calcul (§ A1-2 CPT). Pour chaque type d’essai (flexion, appui intermédiaire, appui d’extrémité), l’interprétation statistique des résultats d’essais pourra être réalisée par famille d’essais.</w:t>
      </w:r>
      <w:r>
        <w:rPr/>
        <w:t xml:space="preserve">Pour chaque type d’essai (flexion, appui intermédiaire, appui d’extrémité), une famille d’essai correspond à :</w:t>
      </w:r>
    </w:p>
    <w:p>
      <w:pPr>
        <w:pPr/>
        <w:numPr>
          <w:ilvl w:val="1"/>
          <w:numId w:val="13"/>
        </w:numPr>
      </w:pPr>
      <w:r>
        <w:rPr/>
        <w:t xml:space="preserve">l’obtention d’un même mode de ruine </w:t>
      </w:r>
    </w:p>
    <w:p>
      <w:pPr>
        <w:pPr/>
        <w:numPr>
          <w:ilvl w:val="1"/>
          <w:numId w:val="13"/>
        </w:numPr>
      </w:pPr>
      <w:r>
        <w:rPr/>
        <w:t xml:space="preserve">la variation d’un seul paramètre : variation de la portée pour les essais sur appuis intermédiaires (au moins deux essais pour chaque longueur de travée, sur des échantillons issus de la même bobine) et variation de l’épaisseur (au moins deux essais pour chaque épaisseur, sur des échantillons issus de la même bobine) pour les essais sur appuis d’extrémité et de flexion en travée.</w:t>
      </w:r>
    </w:p>
    <w:p>
      <w:pPr>
        <w:pPr/>
        <w:numPr>
          <w:ilvl w:val="1"/>
          <w:numId w:val="13"/>
        </w:numPr>
      </w:pPr>
      <w:r>
        <w:rPr/>
        <w:t xml:space="preserve">les bacs perforés ou avec des trous ne peuvent pas faire partie de la même famille que les bacs non-perforés ou sans trous</w:t>
      </w:r>
    </w:p>
    <w:p>
      <w:pPr>
        <w:ind w:left="720" w:right="0"/>
      </w:pPr>
      <w:r>
        <w:rPr>
          <w:rStyle w:val="font_h2"/>
        </w:rPr>
        <w:t xml:space="preserve">5.2. Phase mixte</w:t>
      </w:r>
    </w:p>
    <w:p>
      <w:pPr/>
      <w:r>
        <w:rPr/>
        <w:t xml:space="preserve">Validé par le Groupe Spécialisé le 08/10/2019</w:t>
      </w:r>
    </w:p>
    <w:p>
      <w:pPr/>
      <w:r>
        <w:rPr>
          <w:b/>
          <w:bCs/>
        </w:rPr>
        <w:t xml:space="preserve">Description</w:t>
      </w:r>
    </w:p>
    <w:p>
      <w:pPr/>
      <w:r>
        <w:rPr/>
        <w:t xml:space="preserve">Valeurs de calcul déclarées dans l’Avis Technique (issues des essais décrits en Annexes du CPT, Cahier 3730_V2, et calculées suivant § 1.1 du CPT).</w:t>
      </w:r>
    </w:p>
    <w:p>
      <w:pPr/>
      <w:r>
        <w:rPr/>
        <w:t xml:space="preserve">Performance en phase mixte :</w:t>
      </w:r>
    </w:p>
    <w:p>
      <w:pPr>
        <w:pPr/>
        <w:numPr>
          <w:ilvl w:val="0"/>
          <w:numId w:val="14"/>
        </w:numPr>
      </w:pPr>
      <w:r>
        <w:rPr/>
        <w:t xml:space="preserve">Si méthode « m et k » : valeurs m, k, m</w:t>
      </w:r>
      <w:r>
        <w:rPr>
          <w:vertAlign w:val="subscript"/>
        </w:rPr>
        <w:t xml:space="preserve">g</w:t>
      </w:r>
      <w:r>
        <w:rPr/>
        <w:t xml:space="preserve">, k</w:t>
      </w:r>
      <w:r>
        <w:rPr>
          <w:vertAlign w:val="subscript"/>
        </w:rPr>
        <w:t xml:space="preserve">g</w:t>
      </w:r>
      <w:r>
        <w:rPr/>
        <w:t xml:space="preserve"> ; </w:t>
      </w:r>
    </w:p>
    <w:p>
      <w:pPr>
        <w:pPr/>
        <w:numPr>
          <w:ilvl w:val="0"/>
          <w:numId w:val="14"/>
        </w:numPr>
      </w:pPr>
      <w:r>
        <w:rPr/>
        <w:t xml:space="preserve">Si méthode « τ » : valeur τ</w:t>
      </w:r>
      <w:r>
        <w:rPr>
          <w:vertAlign w:val="subscript"/>
        </w:rPr>
        <w:t xml:space="preserve">u,Rd</w:t>
      </w:r>
      <w:r>
        <w:rPr/>
        <w:t xml:space="preserve">.</w:t>
      </w:r>
    </w:p>
    <w:p>
      <w:pPr/>
      <w:r>
        <w:rPr>
          <w:b/>
          <w:bCs/>
        </w:rPr>
        <w:t xml:space="preserve">Justification</w:t>
      </w:r>
    </w:p>
    <w:p>
      <w:pPr/>
      <w:r>
        <w:rPr/>
        <w:t xml:space="preserve">Cas avec dimensionnement par calcul suivant EC3-1.3, EC4-1-1 et CPT :</w:t>
      </w:r>
    </w:p>
    <w:p>
      <w:pPr>
        <w:pPr/>
        <w:numPr>
          <w:ilvl w:val="0"/>
          <w:numId w:val="15"/>
        </w:numPr>
      </w:pPr>
      <w:r>
        <w:rPr/>
        <w:t xml:space="preserve">Essais de recoupement en phase mixte pour l’épaisseur minimale de bac revendiquée (Annexe 2 CPT)</w:t>
      </w:r>
    </w:p>
    <w:p>
      <w:pPr>
        <w:pPr/>
        <w:numPr>
          <w:ilvl w:val="0"/>
          <w:numId w:val="15"/>
        </w:numPr>
      </w:pPr>
      <w:r>
        <w:rPr/>
        <w:t xml:space="preserve">Interprétation des résultats menant à donner des valeurs de calcul (§A1-2 CPT)</w:t>
      </w:r>
    </w:p>
    <w:p>
      <w:pPr/>
      <w:r>
        <w:rPr/>
        <w:t xml:space="preserve">Cas avec dimensionnement par qualification expérimentale selon les annexes du CPT planchers collaborants (Cahier 3730_V2). Phase mixte suivant Annexe 2 du CPT : </w:t>
      </w:r>
    </w:p>
    <w:p>
      <w:pPr>
        <w:pPr/>
        <w:numPr>
          <w:ilvl w:val="0"/>
          <w:numId w:val="16"/>
        </w:numPr>
      </w:pPr>
      <w:r>
        <w:rPr/>
        <w:t xml:space="preserve">Rapport d'essais;</w:t>
      </w:r>
    </w:p>
    <w:p>
      <w:pPr>
        <w:pPr/>
        <w:numPr>
          <w:ilvl w:val="0"/>
          <w:numId w:val="16"/>
        </w:numPr>
      </w:pPr>
      <w:r>
        <w:rPr/>
        <w:t xml:space="preserve">Interprétation des résultats menant à donner des valeurs de calcul (§ A1-2 CPT).</w:t>
      </w:r>
    </w:p>
    <w:p>
      <w:pPr>
        <w:ind w:left="720" w:right="0"/>
      </w:pPr>
      <w:r>
        <w:rPr>
          <w:rStyle w:val="font_h2"/>
        </w:rPr>
        <w:t xml:space="preserve">5.3. En situation d'incendie</w:t>
      </w:r>
    </w:p>
    <w:p>
      <w:pPr/>
      <w:r>
        <w:rPr/>
        <w:t xml:space="preserve">Validé par le Groupe Spécialisé le 08/10/2019</w:t>
      </w:r>
    </w:p>
    <w:p>
      <w:pPr/>
      <w:r>
        <w:rPr>
          <w:b/>
          <w:bCs/>
        </w:rPr>
        <w:t xml:space="preserve">Description</w:t>
      </w:r>
    </w:p>
    <w:p>
      <w:pPr/>
      <w:r>
        <w:rPr/>
        <w:t xml:space="preserve">Valeurs de calcul déclarées dans l’Avis Technique (issues des essais décrits en Annexes du CPT, Cahier 3730_V2, et calculées suivant § 1.1 du CPT).</w:t>
      </w:r>
    </w:p>
    <w:p>
      <w:pPr/>
      <w:r>
        <w:rPr/>
        <w:t xml:space="preserve">Performance au feu :</w:t>
      </w:r>
    </w:p>
    <w:p>
      <w:pPr>
        <w:pPr/>
        <w:numPr>
          <w:ilvl w:val="0"/>
          <w:numId w:val="17"/>
        </w:numPr>
      </w:pPr>
      <w:r>
        <w:rPr/>
        <w:t xml:space="preserve">Largeur des nervures après exposition au feu ;</w:t>
      </w:r>
    </w:p>
    <w:p>
      <w:pPr>
        <w:pPr/>
        <w:numPr>
          <w:ilvl w:val="0"/>
          <w:numId w:val="17"/>
        </w:numPr>
      </w:pPr>
      <w:r>
        <w:rPr/>
        <w:t xml:space="preserve">Température dans les nervures (bac, barre d’armature, section réduite : Annexe D NF EN 1994-1-2 et §1.5 CPT).</w:t>
      </w:r>
    </w:p>
    <w:p>
      <w:pPr/>
      <w:r>
        <w:rPr>
          <w:b/>
          <w:bCs/>
        </w:rPr>
        <w:t xml:space="preserve">Justification</w:t>
      </w:r>
    </w:p>
    <w:p>
      <w:pPr/>
      <w:r>
        <w:rPr/>
        <w:t xml:space="preserve">Note calcul relative à la détermination des paramètres de calcul.</w:t>
      </w:r>
    </w:p>
    <w:p>
      <w:pPr>
        <w:ind w:left="720" w:right="0"/>
      </w:pPr>
      <w:r>
        <w:rPr>
          <w:rStyle w:val="font_h2"/>
        </w:rPr>
        <w:t xml:space="preserve">5.4. Utilisation en parking aérien largement ventilé</w:t>
      </w:r>
    </w:p>
    <w:p>
      <w:pPr/>
      <w:r>
        <w:rPr/>
        <w:t xml:space="preserve">Validé par le Groupe Spécialisé le 08/10/2019</w:t>
      </w:r>
    </w:p>
    <w:p>
      <w:pPr/>
      <w:r>
        <w:rPr>
          <w:b/>
          <w:bCs/>
        </w:rPr>
        <w:t xml:space="preserve">Description</w:t>
      </w:r>
    </w:p>
    <w:p>
      <w:pPr/>
      <w:r>
        <w:rPr/>
        <w:t xml:space="preserve">Dans le cas des niveaux intermédiaires de parking largement ventilés et pouvant être exposés aux intempéries, la conception de l'ouvrage prévoira :</w:t>
      </w:r>
    </w:p>
    <w:p>
      <w:pPr>
        <w:pPr/>
        <w:numPr>
          <w:ilvl w:val="0"/>
          <w:numId w:val="18"/>
        </w:numPr>
      </w:pPr>
      <w:r>
        <w:rPr/>
        <w:t xml:space="preserve">des pentes de dalles, de cunettes et de noue d'au moins 1,5 %</w:t>
      </w:r>
    </w:p>
    <w:p>
      <w:pPr>
        <w:pPr/>
        <w:numPr>
          <w:ilvl w:val="0"/>
          <w:numId w:val="18"/>
        </w:numPr>
      </w:pPr>
      <w:r>
        <w:rPr/>
        <w:t xml:space="preserve">le cas échéant, un revêtement de sol adapté à la destination dûment caractérisé</w:t>
      </w:r>
    </w:p>
    <w:p>
      <w:pPr/>
      <w:r>
        <w:rPr/>
        <w:t xml:space="preserve">Dans le cas où la dalle est directement exposée aux intempéries (toiture, dernier niveau de parking aérien…), une étanchéité au sens du DTU 43.1 doit être mise en place.</w:t>
      </w:r>
    </w:p>
    <w:p>
      <w:pPr/>
      <w:r>
        <w:rPr>
          <w:rStyle w:val="font_h1"/>
        </w:rPr>
        <w:t xml:space="preserve">6. Mise en oeuvre</w:t>
      </w:r>
    </w:p>
    <w:p>
      <w:pPr/>
      <w:r>
        <w:rPr/>
        <w:t xml:space="preserve">Validé par le Groupe Spécialisé le 11/02/2021</w:t>
      </w:r>
    </w:p>
    <w:p>
      <w:pPr/>
      <w:r>
        <w:rPr>
          <w:b/>
          <w:bCs/>
        </w:rPr>
        <w:t xml:space="preserve">Description</w:t>
      </w:r>
    </w:p>
    <w:p>
      <w:pPr/>
      <w:r>
        <w:rPr/>
        <w:t xml:space="preserve">Décrire la mise en œuvre (chronologie, détail des méthodes adoptées pour assurer la protection collective contre les risques de chute lors de la mise en œuvre, contrôles, assistance).</w:t>
      </w:r>
    </w:p>
    <w:p>
      <w:pPr/>
      <w:r>
        <w:rPr>
          <w:b/>
          <w:bCs/>
        </w:rPr>
        <w:t xml:space="preserve">Justification</w:t>
      </w:r>
    </w:p>
    <w:p>
      <w:pPr/>
      <w:r>
        <w:rPr/>
        <w:t xml:space="preserve">Notice de pose.</w:t>
      </w:r>
    </w:p>
    <w:p>
      <w:pPr/>
      <w:r>
        <w:rPr/>
        <w:t xml:space="preserve">Exemple de plan d’exécution pour chaque type de support visé, comprenant une coupe courante au droit des zones de recouvrement des armatures et une coupe sur appui au droit des zones de recouvrement des armatures.</w:t>
      </w:r>
    </w:p>
    <w:p>
      <w:pPr/>
      <w:r>
        <w:rPr/>
        <w:t xml:space="preserve">Schémas d’assemblage sur appuis ou autres dispositions non visées dans le CPT :</w:t>
      </w:r>
    </w:p>
    <w:p>
      <w:pPr>
        <w:pPr/>
        <w:numPr>
          <w:ilvl w:val="0"/>
          <w:numId w:val="19"/>
        </w:numPr>
      </w:pPr>
      <w:r>
        <w:rPr/>
        <w:t xml:space="preserve">Une coupe courante au droit des zones de recouvrement des armatures (avec identification des valeurs d’enrobage)</w:t>
      </w:r>
    </w:p>
    <w:p>
      <w:pPr>
        <w:pPr/>
        <w:numPr>
          <w:ilvl w:val="0"/>
          <w:numId w:val="19"/>
        </w:numPr>
      </w:pPr>
      <w:r>
        <w:rPr/>
        <w:t xml:space="preserve">Une coupe sur appui au droit des zones de recouvrement des armatures (avec identification des valeurs d’enrobage)</w:t>
      </w:r>
    </w:p>
    <w:p>
      <w:pPr/>
      <w:r>
        <w:rPr/>
        <w:t xml:space="preserve">Les tolérances d'exécution sont données en référence à la norme NF EN 1090-4.</w:t>
      </w:r>
    </w:p>
    <w:p>
      <w:pPr/>
      <w:r>
        <w:rPr>
          <w:rStyle w:val="font_h1"/>
        </w:rPr>
        <w:t xml:space="preserve">7. Isolation thermique</w:t>
      </w:r>
    </w:p>
    <w:p>
      <w:pPr/>
      <w:r>
        <w:rPr/>
        <w:t xml:space="preserve">Validé par le Groupe Spécialisé le 08/10/2019</w:t>
      </w:r>
    </w:p>
    <w:p>
      <w:pPr/>
      <w:r>
        <w:rPr>
          <w:b/>
          <w:bCs/>
        </w:rPr>
        <w:t xml:space="preserve">Description</w:t>
      </w:r>
    </w:p>
    <w:p>
      <w:pPr/>
      <w:r>
        <w:rPr/>
        <w:t xml:space="preserve">Application des règles Th-Bat.</w:t>
      </w:r>
    </w:p>
    <w:p>
      <w:pPr/>
      <w:r>
        <w:rPr>
          <w:rStyle w:val="font_h1"/>
        </w:rPr>
        <w:t xml:space="preserve">8. Isolation acoustique</w:t>
      </w:r>
    </w:p>
    <w:p>
      <w:pPr/>
      <w:r>
        <w:rPr/>
        <w:t xml:space="preserve">Validé par le Groupe Spécialisé le 08/10/2019</w:t>
      </w:r>
    </w:p>
    <w:p>
      <w:pPr/>
      <w:r>
        <w:rPr>
          <w:b/>
          <w:bCs/>
        </w:rPr>
        <w:t xml:space="preserve">Description</w:t>
      </w:r>
    </w:p>
    <w:p>
      <w:pPr/>
      <w:r>
        <w:rPr/>
        <w:t xml:space="preserve">Caractérisation de la performance acoustique intrinsèque du système (Niveau de bruit d’impact, indice d’affaiblissement acoustique) par essai. Il est conseillé de réaliser aussi les essais avec des éléments rapportés (plafond suspendus, revêtement de sol, chape (sèche),…). Possibilité au cas par cas de proposer des extrapolations (table de compression, …) par calcul (FTMM ou FEM).</w:t>
      </w:r>
    </w:p>
    <w:p>
      <w:pPr/>
      <w:r>
        <w:rPr>
          <w:b/>
          <w:bCs/>
        </w:rPr>
        <w:t xml:space="preserve">Justification</w:t>
      </w:r>
    </w:p>
    <w:p>
      <w:pPr/>
      <w:r>
        <w:rPr/>
        <w:t xml:space="preserve">Rapport d'essai.</w:t>
      </w:r>
    </w:p>
    <w:p>
      <w:pPr/>
      <w:r>
        <w:rPr>
          <w:rStyle w:val="font_h1"/>
        </w:rPr>
        <w:t xml:space="preserve">9. Durabilité</w:t>
      </w:r>
    </w:p>
    <w:p>
      <w:pPr/>
      <w:r>
        <w:rPr/>
        <w:t xml:space="preserve">Validé par le Groupe Spécialisé le 08/10/2019</w:t>
      </w:r>
    </w:p>
    <w:p>
      <w:pPr/>
      <w:r>
        <w:rPr>
          <w:b/>
          <w:bCs/>
        </w:rPr>
        <w:t xml:space="preserve">Description</w:t>
      </w:r>
    </w:p>
    <w:p>
      <w:pPr/>
      <w:r>
        <w:rPr/>
        <w:t xml:space="preserve">A défaut de justifications particulières et à défaut d'entretien possible, l'emploi des bacs sur vide-sanitaire sera proscrit.</w:t>
      </w:r>
    </w:p>
    <w:p>
      <w:pPr/>
      <w:r>
        <w:rPr>
          <w:rStyle w:val="font_h1"/>
        </w:rPr>
        <w:t xml:space="preserve">10.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aout 2015. 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au sens de l’arrêté du 31 août 2015.</w:t>
      </w:r>
    </w:p>
    <w:p>
      <w:pPr/>
      <w:r>
        <w:rPr>
          <w:rStyle w:val="font_h1"/>
        </w:rPr>
        <w:t xml:space="preserve">11.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05D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D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25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5A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B6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6C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BCF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DD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AF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C3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E3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2025-12-07T11:16:03+01:00</dcterms:created>
  <dcterms:modified xsi:type="dcterms:W3CDTF">2025-12-07T11:16:03+01:00</dcterms:modified>
</cp:coreProperties>
</file>

<file path=docProps/custom.xml><?xml version="1.0" encoding="utf-8"?>
<Properties xmlns="http://schemas.openxmlformats.org/officeDocument/2006/custom-properties" xmlns:vt="http://schemas.openxmlformats.org/officeDocument/2006/docPropsVTypes"/>
</file>