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de fixation réglable de plaques rapportées</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Détailler le rôle du dispositif de fixation : ce dispositif est destiné à assurer la fixation réglable de panneaux de parement en béton architectonique, rapportés en habillage d’une structure en béton.  </w:t>
      </w:r>
    </w:p>
    <w:p>
      <w:pPr/>
      <w:r>
        <w:rPr/>
        <w:t xml:space="preserve">Préciser si un vide ventilé est aménagé à l’arrière des panneaux (épaisseur min et max à préciser). </w:t>
      </w:r>
    </w:p>
    <w:p>
      <w:pPr/>
      <w:r>
        <w:rPr/>
        <w:t xml:space="preserve">Décrire les différents constituants du dispositif de fixation. </w:t>
      </w:r>
    </w:p>
    <w:p>
      <w:pPr/>
      <w:r>
        <w:rPr/>
        <w:t xml:space="preserve">Décrire les types de supports visés (type de bâtiment (destination, hauteur, ...), mur et ossature béton, ossature métallique, ...) et les typologies de panneaux visées (épaisseurs minimales et maximales des panneaux en béton, type de béton, ...).</w:t>
      </w:r>
    </w:p>
    <w:p>
      <w:pPr/>
      <w:r>
        <w:rPr>
          <w:rStyle w:val="font_h1"/>
        </w:rPr>
        <w:t xml:space="preserve">2. Matériaux</w:t>
      </w:r>
    </w:p>
    <w:p>
      <w:pPr/>
      <w:r>
        <w:rPr/>
        <w:t xml:space="preserve">Validé par le Groupe Spécialisé le 10/10/2024</w:t>
      </w:r>
    </w:p>
    <w:p>
      <w:pPr/>
      <w:r>
        <w:rPr>
          <w:b/>
          <w:bCs/>
        </w:rPr>
        <w:t xml:space="preserve">Description</w:t>
      </w:r>
    </w:p>
    <w:p>
      <w:pPr/>
      <w:r>
        <w:rPr/>
        <w:t xml:space="preserve">-Définition des matériaux des différents constituants du système de suspension (Tiges / inserts / plats et / ou autres éléments) : type d’acier utilisé (inoxydable, acier galvanisé), nuance, résistance à la traction, module d’Young élastique, moyen de protection contre la corrosion en fonction du domaine d’emploi revendiqué.</w:t>
      </w:r>
    </w:p>
    <w:p>
      <w:pPr/>
      <w:r>
        <w:rPr/>
        <w:t xml:space="preserve">-Les chevilles doivent être marquées CE sur la base d’une Evaluation Technique Européenne (ETE), relevant d’un Document d’Evaluation Européen pour un usage en béton fissuré:</w:t>
      </w:r>
    </w:p>
    <w:p>
      <w:pPr>
        <w:pPr/>
        <w:numPr>
          <w:ilvl w:val="0"/>
          <w:numId w:val="9"/>
        </w:numPr>
      </w:pPr>
      <w:r>
        <w:rPr/>
        <w:t xml:space="preserve">DEE 330232-00-0601 pour les ancrages mécaniques</w:t>
      </w:r>
    </w:p>
    <w:p>
      <w:pPr>
        <w:pPr/>
        <w:numPr>
          <w:ilvl w:val="0"/>
          <w:numId w:val="9"/>
        </w:numPr>
      </w:pPr>
      <w:r>
        <w:rPr/>
        <w:t xml:space="preserve">DEE 15330499-0601 pour les scellements chimiques</w:t>
      </w:r>
    </w:p>
    <w:p>
      <w:pPr/>
      <w:r>
        <w:rPr>
          <w:b/>
          <w:bCs/>
        </w:rPr>
        <w:t xml:space="preserve">Justification</w:t>
      </w:r>
    </w:p>
    <w:p>
      <w:pPr/>
      <w:r>
        <w:rPr/>
        <w:t xml:space="preserve">Justifier la compatibilité entre les matériaux constitutifs et les conditions d'exposition (durabilité des matériaux vis à vis des risques de corrosion, ...).</w:t>
      </w:r>
    </w:p>
    <w:p>
      <w:pPr/>
      <w:r>
        <w:rPr>
          <w:rStyle w:val="font_h1"/>
        </w:rPr>
        <w:t xml:space="preserve">3. Eléments constitutifs du système</w:t>
      </w:r>
    </w:p>
    <w:p>
      <w:pPr>
        <w:ind w:left="720" w:right="0"/>
      </w:pPr>
      <w:r>
        <w:rPr>
          <w:rStyle w:val="font_h2"/>
        </w:rPr>
        <w:t xml:space="preserve">3.1. Eléments de suspension (à compléter / supprimer en fonction du système)</w:t>
      </w:r>
    </w:p>
    <w:p>
      <w:pPr>
        <w:ind w:left="1440" w:right="0"/>
      </w:pPr>
      <w:r>
        <w:rPr>
          <w:rStyle w:val="font_h3"/>
        </w:rPr>
        <w:t xml:space="preserve">3.1.1. Introduction</w:t>
      </w:r>
    </w:p>
    <w:p>
      <w:pPr/>
      <w:r>
        <w:rPr/>
        <w:t xml:space="preserve">Validé par le Groupe Spécialisé le 14/02/2019</w:t>
      </w:r>
    </w:p>
    <w:p>
      <w:pPr/>
      <w:r>
        <w:rPr>
          <w:b/>
          <w:bCs/>
        </w:rPr>
        <w:t xml:space="preserve">Description</w:t>
      </w:r>
    </w:p>
    <w:p>
      <w:pPr/>
      <w:r>
        <w:rPr/>
        <w:t xml:space="preserve">-Définition de la gamme de charges pouvant être reprises par le système de suspension. </w:t>
      </w:r>
    </w:p>
    <w:p>
      <w:pPr/>
      <w:r>
        <w:rPr/>
        <w:t xml:space="preserve">-Définition des différents éléments rentrant dans la composition des suspentes (géométrie, matériaux, …). </w:t>
      </w:r>
    </w:p>
    <w:p>
      <w:pPr/>
      <w:r>
        <w:rPr/>
        <w:t xml:space="preserve">-Renvoyer vers les annexes du dossier technique fournissant les caractéristiques géométriques des différents éléments. </w:t>
      </w:r>
    </w:p>
    <w:p>
      <w:pPr/>
      <w:r>
        <w:rPr/>
        <w:t xml:space="preserve">-Préciser si un marquage spécifique permet l'identification des gammes de résistance des composants.</w:t>
      </w:r>
    </w:p>
    <w:p>
      <w:pPr/>
      <w:r>
        <w:rPr>
          <w:b/>
          <w:bCs/>
        </w:rPr>
        <w:t xml:space="preserve">Illustration</w:t>
      </w:r>
    </w:p>
    <w:p>
      <w:pPr/>
      <w:r>
        <w:rPr/>
        <w:t xml:space="preserve">Schémas illustrant les suspentes du système et leur positionnement dans le panneau.</w:t>
      </w:r>
    </w:p>
    <w:p>
      <w:pPr>
        <w:ind w:left="1440" w:right="0"/>
      </w:pPr>
      <w:r>
        <w:rPr>
          <w:rStyle w:val="font_h3"/>
        </w:rPr>
        <w:t xml:space="preserve">3.1.2. Insert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inserts.</w:t>
      </w:r>
    </w:p>
    <w:p>
      <w:pPr>
        <w:ind w:left="1440" w:right="0"/>
      </w:pPr>
      <w:r>
        <w:rPr>
          <w:rStyle w:val="font_h3"/>
        </w:rPr>
        <w:t xml:space="preserve">3.1.3. Tige à oeil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tiges à œil.</w:t>
      </w:r>
    </w:p>
    <w:p>
      <w:pPr>
        <w:ind w:left="1440" w:right="0"/>
      </w:pPr>
      <w:r>
        <w:rPr>
          <w:rStyle w:val="font_h3"/>
        </w:rPr>
        <w:t xml:space="preserve">3.1.4. Axe de liaison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axes de liaison.</w:t>
      </w:r>
    </w:p>
    <w:p>
      <w:pPr>
        <w:ind w:left="1440" w:right="0"/>
      </w:pPr>
      <w:r>
        <w:rPr>
          <w:rStyle w:val="font_h3"/>
        </w:rPr>
        <w:t xml:space="preserve">3.1.5. Platine de fixation (le cas échéant)</w:t>
      </w:r>
    </w:p>
    <w:p>
      <w:pPr/>
      <w:r>
        <w:rPr/>
        <w:t xml:space="preserve">Validé par le Groupe Spécialisé le 14/02/2019</w:t>
      </w:r>
    </w:p>
    <w:p>
      <w:pPr/>
      <w:r>
        <w:rPr>
          <w:b/>
          <w:bCs/>
        </w:rPr>
        <w:t xml:space="preserve">Description</w:t>
      </w:r>
    </w:p>
    <w:p>
      <w:pPr/>
      <w:r>
        <w:rPr/>
        <w:t xml:space="preserve">Définition de la gamme, géométrie, nature,  gammes de charges correspondantes, fixation dans le support.</w:t>
      </w:r>
    </w:p>
    <w:p>
      <w:pPr/>
      <w:r>
        <w:rPr>
          <w:b/>
          <w:bCs/>
        </w:rPr>
        <w:t xml:space="preserve">Illustration</w:t>
      </w:r>
    </w:p>
    <w:p>
      <w:pPr/>
      <w:r>
        <w:rPr/>
        <w:t xml:space="preserve">Détail des platines de fixation.</w:t>
      </w:r>
    </w:p>
    <w:p>
      <w:pPr>
        <w:ind w:left="720" w:right="0"/>
      </w:pPr>
      <w:r>
        <w:rPr>
          <w:rStyle w:val="font_h2"/>
        </w:rPr>
        <w:t xml:space="preserve">3.2. Distanceurs (le cas échéant)</w:t>
      </w:r>
    </w:p>
    <w:p>
      <w:pPr/>
      <w:r>
        <w:rPr/>
        <w:t xml:space="preserve">Validé par le Groupe Spécialisé le 14/02/2019</w:t>
      </w:r>
    </w:p>
    <w:p>
      <w:pPr/>
      <w:r>
        <w:rPr>
          <w:b/>
          <w:bCs/>
        </w:rPr>
        <w:t xml:space="preserve">Description</w:t>
      </w:r>
    </w:p>
    <w:p>
      <w:pPr/>
      <w:r>
        <w:rPr/>
        <w:t xml:space="preserve">-Décrire le positionnement et le rôle des distanceurs (disposés au voisinage immédiat du point d’ancrage de l’élément de suspension dans le panneau, destinés à transmettre à la structure porteuse les efforts de compression et à éloigner le panneau du support pour respecter l’alignement des panneaux de parement dans le plan, ...).  </w:t>
      </w:r>
    </w:p>
    <w:p>
      <w:pPr/>
      <w:r>
        <w:rPr/>
        <w:t xml:space="preserve">-Préciser quels sont les éléments rentrant dans la composition du distanceur. </w:t>
      </w:r>
    </w:p>
    <w:p>
      <w:pPr/>
      <w:r>
        <w:rPr/>
        <w:t xml:space="preserve">-Définition de la gamme de distanceurs en fonction des charges à supporter.</w:t>
      </w:r>
    </w:p>
    <w:p>
      <w:pPr/>
      <w:r>
        <w:rPr/>
        <w:t xml:space="preserve">-Renvoyer vers le tableau de l'annexe du DTEd donnant les résistances en fonction des différents éléments de la gamme.</w:t>
      </w:r>
    </w:p>
    <w:p>
      <w:pPr/>
      <w:r>
        <w:rPr>
          <w:b/>
          <w:bCs/>
        </w:rPr>
        <w:t xml:space="preserve">Illustration</w:t>
      </w:r>
    </w:p>
    <w:p>
      <w:pPr/>
      <w:r>
        <w:rPr/>
        <w:t xml:space="preserve">Schémas des gammes de distanceur et de leur positionnement dans le panneau.</w:t>
      </w:r>
    </w:p>
    <w:p>
      <w:pPr>
        <w:ind w:left="720" w:right="0"/>
      </w:pPr>
      <w:r>
        <w:rPr>
          <w:rStyle w:val="font_h2"/>
        </w:rPr>
        <w:t xml:space="preserve">3.3. Ancrages-vent (le cas échéant)</w:t>
      </w:r>
    </w:p>
    <w:p>
      <w:pPr/>
      <w:r>
        <w:rPr/>
        <w:t xml:space="preserve">Validé par le Groupe Spécialisé le 14/02/2019</w:t>
      </w:r>
    </w:p>
    <w:p>
      <w:pPr/>
      <w:r>
        <w:rPr>
          <w:b/>
          <w:bCs/>
        </w:rPr>
        <w:t xml:space="preserve">Description</w:t>
      </w:r>
    </w:p>
    <w:p>
      <w:pPr/>
      <w:r>
        <w:rPr/>
        <w:t xml:space="preserve">-Décrire le rôle des ancrages vent :  reprise des efforts de traction en cas de risque d’écartement du panneau sous les efforts de vent en dépression.</w:t>
      </w:r>
    </w:p>
    <w:p>
      <w:pPr/>
      <w:r>
        <w:rPr/>
        <w:t xml:space="preserve">-Définition du système et mode de réglage de l'ancrage vent, ainsi que de la gamme d'ancrage vent en fonction des charges à reprendre.</w:t>
      </w:r>
    </w:p>
    <w:p>
      <w:pPr/>
      <w:r>
        <w:rPr/>
        <w:t xml:space="preserve">-Renvoyer vers les tableaux de l'annexe du DTEd fournissant la résistance des ancrages vent en fonction de la gamme.</w:t>
      </w:r>
    </w:p>
    <w:p>
      <w:pPr/>
      <w:r>
        <w:rPr>
          <w:b/>
          <w:bCs/>
        </w:rPr>
        <w:t xml:space="preserve">Illustration</w:t>
      </w:r>
    </w:p>
    <w:p>
      <w:pPr/>
      <w:r>
        <w:rPr/>
        <w:t xml:space="preserve">Schémas des gammes d'ancrage vent et de leur positionnement dans le panneau.</w:t>
      </w:r>
    </w:p>
    <w:p>
      <w:pPr>
        <w:ind w:left="720" w:right="0"/>
      </w:pPr>
      <w:r>
        <w:rPr>
          <w:rStyle w:val="font_h2"/>
        </w:rPr>
        <w:t xml:space="preserve">3.4. Ancrages-séisme (le cas échéant)</w:t>
      </w:r>
    </w:p>
    <w:p>
      <w:pPr/>
      <w:r>
        <w:rPr/>
        <w:t xml:space="preserve">Validé par le Groupe Spécialisé le 14/02/2019</w:t>
      </w:r>
    </w:p>
    <w:p>
      <w:pPr/>
      <w:r>
        <w:rPr>
          <w:b/>
          <w:bCs/>
        </w:rPr>
        <w:t xml:space="preserve">Description</w:t>
      </w:r>
    </w:p>
    <w:p>
      <w:pPr/>
      <w:r>
        <w:rPr/>
        <w:t xml:space="preserve">Définition des éléments rentrant dans la composition du système parasismique, géométrie, nature et fonction mécanique (stabilité dans le plan, stabilité hors plan).</w:t>
      </w:r>
    </w:p>
    <w:p>
      <w:pPr/>
      <w:r>
        <w:rPr>
          <w:b/>
          <w:bCs/>
        </w:rPr>
        <w:t xml:space="preserve">Illustration</w:t>
      </w:r>
    </w:p>
    <w:p>
      <w:pPr/>
      <w:r>
        <w:rPr/>
        <w:t xml:space="preserve">Schémas des gammes d’ancrage séisme et de leur positionnement dans le panneau.</w:t>
      </w:r>
    </w:p>
    <w:p>
      <w:pPr>
        <w:ind w:left="720" w:right="0"/>
      </w:pPr>
      <w:r>
        <w:rPr>
          <w:rStyle w:val="font_h2"/>
        </w:rPr>
        <w:t xml:space="preserve">3.5. Système de solidarisation entre panneaux (Goupillage, …) (le cas échéant)</w:t>
      </w:r>
    </w:p>
    <w:p>
      <w:pPr/>
      <w:r>
        <w:rPr/>
        <w:t xml:space="preserve">Validé par le Groupe Spécialisé le 14/02/2019</w:t>
      </w:r>
    </w:p>
    <w:p>
      <w:pPr/>
      <w:r>
        <w:rPr>
          <w:b/>
          <w:bCs/>
        </w:rPr>
        <w:t xml:space="preserve">Description</w:t>
      </w:r>
    </w:p>
    <w:p>
      <w:pPr/>
      <w:r>
        <w:rPr/>
        <w:t xml:space="preserve">-Détail de la nature et du rôle du système de solidarisation entre panneau. Par exemple: goupillage permettant la solidarisation des panneaux entre eux ainsi que la transmission des charges horizontales d’un panneau à l’autre au moyen d’une goupille scellée dans le champ des deux panneaux.</w:t>
      </w:r>
    </w:p>
    <w:p>
      <w:pPr/>
      <w:r>
        <w:rPr/>
        <w:t xml:space="preserve">-Renvoyer vers l'annexe du DTEd détaillant la géométrie du système de solidarisation.</w:t>
      </w:r>
    </w:p>
    <w:p>
      <w:pPr/>
      <w:r>
        <w:rPr/>
        <w:t xml:space="preserve">-Définition, nature des éléments rentrant dans la composition du système de solidarisation. </w:t>
      </w:r>
    </w:p>
    <w:p>
      <w:pPr/>
      <w:r>
        <w:rPr/>
        <w:t xml:space="preserve">-Définition des disposition prises au niveau des panneaux pour permettre le "goupillage".</w:t>
      </w:r>
    </w:p>
    <w:p>
      <w:pPr/>
      <w:r>
        <w:rPr>
          <w:b/>
          <w:bCs/>
        </w:rPr>
        <w:t xml:space="preserve">Illustration</w:t>
      </w:r>
    </w:p>
    <w:p>
      <w:pPr/>
      <w:r>
        <w:rPr/>
        <w:t xml:space="preserve">Détail du système de solidarisation et de son positionnement dans les panneaux.</w:t>
      </w:r>
    </w:p>
    <w:p>
      <w:pPr>
        <w:ind w:left="720" w:right="0"/>
      </w:pPr>
      <w:r>
        <w:rPr>
          <w:rStyle w:val="font_h2"/>
        </w:rPr>
        <w:t xml:space="preserve">3.7. Ancrages des composants du système</w:t>
      </w:r>
    </w:p>
    <w:p>
      <w:pPr/>
      <w:r>
        <w:rPr/>
        <w:t xml:space="preserve">Validé par le Groupe Spécialisé le 14/02/2019</w:t>
      </w:r>
    </w:p>
    <w:p>
      <w:pPr/>
      <w:r>
        <w:rPr>
          <w:b/>
          <w:bCs/>
        </w:rPr>
        <w:t xml:space="preserve">Description</w:t>
      </w:r>
    </w:p>
    <w:p>
      <w:pPr/>
      <w:r>
        <w:rPr/>
        <w:t xml:space="preserve">-Type d'ancrage [mécanique / chimique] permettant de fixer les différents éléments composant le système de suspension au support.</w:t>
      </w:r>
    </w:p>
    <w:p>
      <w:pPr/>
      <w:r>
        <w:rPr/>
        <w:t xml:space="preserve">-Type d'ancrage [mécanique / chimique] permettant de fixer les différents éléments composant le système de suspension dans les panneaux de mur.</w:t>
      </w:r>
    </w:p>
    <w:p>
      <w:pPr/>
      <w:r>
        <w:rPr/>
        <w:t xml:space="preserve">Les chevilles doivent être marquées CE sur la base d’une Evaluation Technique Européenne (ETE), relevant d’un Document d’Evaluation Européen pour un usage en béton fissuré:</w:t>
      </w:r>
    </w:p>
    <w:p>
      <w:pPr>
        <w:pPr/>
        <w:numPr>
          <w:ilvl w:val="0"/>
          <w:numId w:val="10"/>
        </w:numPr>
      </w:pPr>
      <w:r>
        <w:rPr/>
        <w:t xml:space="preserve">DEE 330232-00-0601 pour les ancrages mécaniques</w:t>
      </w:r>
    </w:p>
    <w:p>
      <w:pPr>
        <w:pPr/>
        <w:numPr>
          <w:ilvl w:val="0"/>
          <w:numId w:val="10"/>
        </w:numPr>
      </w:pPr>
      <w:r>
        <w:rPr/>
        <w:t xml:space="preserve">DEE 15330499-0601 pour les scellements chimiques</w:t>
      </w:r>
    </w:p>
    <w:p>
      <w:pPr/>
      <w:r>
        <w:rPr>
          <w:b/>
          <w:bCs/>
        </w:rPr>
        <w:t xml:space="preserve">Illustration</w:t>
      </w:r>
    </w:p>
    <w:p>
      <w:pPr/>
      <w:r>
        <w:rPr/>
        <w:t xml:space="preserve">Détail des conditions d’ancrage des éléments sur les panneaux et sur le support.</w:t>
      </w:r>
    </w:p>
    <w:p>
      <w:pPr/>
      <w:r>
        <w:rPr>
          <w:rStyle w:val="font_h1"/>
        </w:rPr>
        <w:t xml:space="preserve">4. Fabrication des pièces</w:t>
      </w:r>
    </w:p>
    <w:p>
      <w:pPr>
        <w:ind w:left="720" w:right="0"/>
      </w:pPr>
      <w:r>
        <w:rPr>
          <w:rStyle w:val="font_h2"/>
        </w:rPr>
        <w:t xml:space="preserve">4.1. Conditions de fabrication</w:t>
      </w:r>
    </w:p>
    <w:p>
      <w:pPr/>
      <w:r>
        <w:rPr/>
        <w:t xml:space="preserve">Validé par le Groupe Spécialisé le 14/02/2019</w:t>
      </w:r>
    </w:p>
    <w:p>
      <w:pPr/>
      <w:r>
        <w:rPr>
          <w:b/>
          <w:bCs/>
        </w:rPr>
        <w:t xml:space="preserve">Description</w:t>
      </w:r>
    </w:p>
    <w:p>
      <w:pPr/>
      <w:r>
        <w:rPr/>
        <w:t xml:space="preserve">Nom du fabriquant, localisation du site de fabrication.Description du processus de fabrication de chaque composant constituant le système de suspension.</w:t>
      </w:r>
    </w:p>
    <w:p>
      <w:pPr>
        <w:ind w:left="720" w:right="0"/>
      </w:pPr>
      <w:r>
        <w:rPr>
          <w:rStyle w:val="font_h2"/>
        </w:rPr>
        <w:t xml:space="preserve">4.2. Contrôles de production (internes/externes)</w:t>
      </w:r>
    </w:p>
    <w:p>
      <w:pPr/>
      <w:r>
        <w:rPr/>
        <w:t xml:space="preserve">Validé par le Groupe Spécialisé le 14/02/2019</w:t>
      </w:r>
    </w:p>
    <w:p>
      <w:pPr/>
      <w:r>
        <w:rPr>
          <w:b/>
          <w:bCs/>
        </w:rPr>
        <w:t xml:space="preserve">Description</w:t>
      </w:r>
    </w:p>
    <w:p>
      <w:pPr/>
      <w:r>
        <w:rPr/>
        <w:t xml:space="preserve">Contrôles et auto-contrôles réalisés lors de la fabrication des pièces : nature et fréquence des contrôles de production (interne et externe).</w:t>
      </w:r>
    </w:p>
    <w:p>
      <w:pPr/>
      <w:r>
        <w:rPr>
          <w:rStyle w:val="font_h1"/>
        </w:rPr>
        <w:t xml:space="preserve">5. Conditions de conception et de dimensionnement</w:t>
      </w:r>
    </w:p>
    <w:p>
      <w:pPr>
        <w:ind w:left="720" w:right="0"/>
      </w:pPr>
      <w:r>
        <w:rPr>
          <w:rStyle w:val="font_h2"/>
        </w:rPr>
        <w:t xml:space="preserve">5.1. Performances mécaniques du système de fixation</w:t>
      </w:r>
    </w:p>
    <w:p>
      <w:pPr/>
      <w:r>
        <w:rPr/>
        <w:t xml:space="preserve">Validé par le Groupe Spécialisé le 14/02/2019</w:t>
      </w:r>
    </w:p>
    <w:p>
      <w:pPr/>
      <w:r>
        <w:rPr>
          <w:b/>
          <w:bCs/>
        </w:rPr>
        <w:t xml:space="preserve">Description</w:t>
      </w:r>
    </w:p>
    <w:p>
      <w:pPr/>
      <w:r>
        <w:rPr/>
        <w:t xml:space="preserve">Afficher les performances mécaniques (statiques et dynamiques si situation sismique visée) des composants du dispositif de fixation pour chaque type de sollicitation concerné (traction et cisaillement-flexion) et en tenant compte des différents paramètres variables (longueur d'ancrage, résistance du support, longueur libre, épaisseur des panneaux...). </w:t>
      </w:r>
    </w:p>
    <w:p>
      <w:pPr/>
      <w:r>
        <w:rPr/>
        <w:t xml:space="preserve">Il conviendra de mentionner la référence du rapport d'essai associé à chaque performance mécanique.</w:t>
      </w:r>
    </w:p>
    <w:p>
      <w:pPr/>
      <w:r>
        <w:rPr>
          <w:b/>
          <w:bCs/>
        </w:rPr>
        <w:t xml:space="preserve">Justification</w:t>
      </w:r>
    </w:p>
    <w:p>
      <w:pPr/>
      <w:r>
        <w:rPr/>
        <w:t xml:space="preserve">Qualifications expérimentales des performances mécaniques des composants pour chaque type de sollicitation concerné (en fonction du rôle de chaque composant). Les essais devront être réalisés en nombre suffisant pour chaque configuration (au moins 3 essais afin de déterminer une valeur caractéristique) et dans les conditions (ancrages, longueurs libres, ...) les plus défavorables.</w:t>
      </w:r>
      <w:br/>
      <w:r>
        <w:rPr/>
        <w:t xml:space="preserve">Si une utilisation en situation sismique est visée, il conviendra de réaliser les essais sous chargement cyclique.</w:t>
      </w:r>
    </w:p>
    <w:p>
      <w:pPr>
        <w:ind w:left="720" w:right="0"/>
      </w:pPr>
      <w:r>
        <w:rPr>
          <w:rStyle w:val="font_h2"/>
        </w:rPr>
        <w:t xml:space="preserve">5.2. Dimensionnement vis-à-vis des charges gravitaires</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 à vis des charges gravitaires.</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5.3. Dimensionnement vis-à-vis des sollicitations parallèles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parallèles au plan des panneaux (dilatation thermique,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5.4. Dimensionnement vis-à-vis des sollicitations perpendiculaires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perpendiculaires au plan des panneaux (vent,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5.5. Règles de positionnement du système de fixation dans les panneaux</w:t>
      </w:r>
    </w:p>
    <w:p>
      <w:pPr/>
      <w:r>
        <w:rPr/>
        <w:t xml:space="preserve">Validé par le Groupe Spécialisé le 14/02/2019</w:t>
      </w:r>
    </w:p>
    <w:p>
      <w:pPr/>
      <w:r>
        <w:rPr>
          <w:b/>
          <w:bCs/>
        </w:rPr>
        <w:t xml:space="preserve">Description</w:t>
      </w:r>
    </w:p>
    <w:p>
      <w:pPr/>
      <w:r>
        <w:rPr/>
        <w:t xml:space="preserve">Détailler les règles de positionnement des différents composants du dispositif de fixation sur les plaques de parement rapportée :  </w:t>
      </w:r>
    </w:p>
    <w:p>
      <w:pPr/>
      <w:r>
        <w:rPr/>
        <w:t xml:space="preserve">-nombre minimum de composants par panneau en fonction du rôle de chaque composant </w:t>
      </w:r>
    </w:p>
    <w:p>
      <w:pPr/>
      <w:r>
        <w:rPr/>
        <w:t xml:space="preserve">-localisation des composants en fonction de leur rôle et de la géométrie du panneau </w:t>
      </w:r>
    </w:p>
    <w:p>
      <w:pPr/>
      <w:r>
        <w:rPr/>
        <w:t xml:space="preserve">-distances minimales et maximales entre composants </w:t>
      </w:r>
    </w:p>
    <w:p>
      <w:pPr/>
      <w:r>
        <w:rPr/>
        <w:t xml:space="preserve">-distances minimales vis à vis des bords du panneau</w:t>
      </w:r>
    </w:p>
    <w:p>
      <w:pPr/>
      <w:r>
        <w:rPr>
          <w:b/>
          <w:bCs/>
        </w:rPr>
        <w:t xml:space="preserve">Illustration</w:t>
      </w:r>
    </w:p>
    <w:p>
      <w:pPr/>
      <w:r>
        <w:rPr/>
        <w:t xml:space="preserve">Illustration des règles de positionnement des composants du dispositif de fixation à l'aide de schémas cotés des différents éléments composant le système de fixation et de leur répartition sur les panneaux (pour différentes géométries de panneaux).</w:t>
      </w:r>
    </w:p>
    <w:p>
      <w:pPr/>
      <w:r>
        <w:rPr>
          <w:rStyle w:val="font_h1"/>
        </w:rPr>
        <w:t xml:space="preserve">6. Mise en œuvre</w:t>
      </w:r>
    </w:p>
    <w:p>
      <w:pPr>
        <w:ind w:left="720" w:right="0"/>
      </w:pPr>
      <w:r>
        <w:rPr>
          <w:rStyle w:val="font_h2"/>
        </w:rPr>
        <w:t xml:space="preserve">6.1. Fabrication des plaques de parement</w:t>
      </w:r>
    </w:p>
    <w:p>
      <w:pPr/>
      <w:r>
        <w:rPr/>
        <w:t xml:space="preserve">Validé par le Groupe Spécialisé le 14/02/2019</w:t>
      </w:r>
    </w:p>
    <w:p>
      <w:pPr/>
      <w:r>
        <w:rPr>
          <w:b/>
          <w:bCs/>
        </w:rPr>
        <w:t xml:space="preserve">Description</w:t>
      </w:r>
    </w:p>
    <w:p>
      <w:pPr/>
      <w:r>
        <w:rPr/>
        <w:t xml:space="preserve">-Description du processus de fabrication des panneaux béton et des modalités d'intégration des composants du système de liaison (nature et fréquence des contrôles lors de l’intégration du système de fixation dans les panneaux).</w:t>
      </w:r>
    </w:p>
    <w:p>
      <w:pPr/>
      <w:r>
        <w:rPr/>
        <w:t xml:space="preserve">-Nombre de suspentes par panneaux, positionnement, et distances minimums à respecter par rapport aux rives des panneaux.</w:t>
      </w:r>
    </w:p>
    <w:p>
      <w:pPr/>
      <w:r>
        <w:rPr/>
        <w:t xml:space="preserve">-Mise en oeuvre des inserts et autres éléments lors de la fabrication des panneaux, permettant l'utilisation des différentes pièces composant le système de suspension.</w:t>
      </w:r>
    </w:p>
    <w:p>
      <w:pPr/>
      <w:r>
        <w:rPr/>
        <w:t xml:space="preserve">-Gestion de la fabrication de panneaux non symétriques.</w:t>
      </w:r>
    </w:p>
    <w:p>
      <w:pPr/>
      <w:r>
        <w:rPr/>
        <w:t xml:space="preserve">-Tant lors de la conception de la façade que lors de la mise en œuvre, il faut s’assurer du respect des points suivants:Pour les panneaux de façade:</w:t>
      </w:r>
    </w:p>
    <w:p>
      <w:pPr/>
      <w:r>
        <w:rPr/>
        <w:t xml:space="preserve">•   L’enrobage des armatures des panneaux doit répondre à l’Eurocode 2 afin de prévenir leur corrosion ;</w:t>
      </w:r>
    </w:p>
    <w:p>
      <w:pPr/>
      <w:r>
        <w:rPr/>
        <w:t xml:space="preserve">•   Le béton doit être exempt de composé chloré.</w:t>
      </w:r>
    </w:p>
    <w:p>
      <w:pPr>
        <w:ind w:left="720" w:right="0"/>
      </w:pPr>
      <w:r>
        <w:rPr>
          <w:rStyle w:val="font_h2"/>
        </w:rPr>
        <w:t xml:space="preserve">6.2. Accrochage des plaques de parement à la structure</w:t>
      </w:r>
    </w:p>
    <w:p>
      <w:pPr/>
      <w:r>
        <w:rPr/>
        <w:t xml:space="preserve">Validé par le Groupe Spécialisé le 14/02/2019</w:t>
      </w:r>
    </w:p>
    <w:p>
      <w:pPr/>
      <w:r>
        <w:rPr>
          <w:b/>
          <w:bCs/>
        </w:rPr>
        <w:t xml:space="preserve">Description</w:t>
      </w:r>
    </w:p>
    <w:p>
      <w:pPr/>
      <w:r>
        <w:rPr/>
        <w:t xml:space="preserve">Détailler les différentes étapes permettant l'accrochage et le réglage d'un panneau (contrôles réalisés lors de la mise en œuvre) ainsi que la gestion de la traversée de l'isolant le cas échéant.</w:t>
      </w:r>
    </w:p>
    <w:p>
      <w:pPr/>
      <w:r>
        <w:rPr/>
        <w:t xml:space="preserve">Tant lors de la conception de la façade que lors de la mise en œuvre, il faut s’assurer du respect des points suivants:Pour la structure porteuse:</w:t>
      </w:r>
    </w:p>
    <w:p>
      <w:pPr/>
      <w:r>
        <w:rPr/>
        <w:t xml:space="preserve">•   La structure porteuse doit être dimensionnée de sorte de pouvoir équilibrer les efforts engendrés par les panneaux de façade ;</w:t>
      </w:r>
    </w:p>
    <w:p>
      <w:pPr/>
      <w:r>
        <w:rPr/>
        <w:t xml:space="preserve">•   Le système de fixation choisi doit être dimensionné en fonction de la nature de la structure porteuse et des efforts engendrés par le panneau ;</w:t>
      </w:r>
    </w:p>
    <w:p>
      <w:pPr/>
      <w:r>
        <w:rPr/>
        <w:t xml:space="preserve">•   En cas de structure porteuse en béton, la cheville métallique choisie doit faire l’objet d’une Evaluation Technique Européenne, le béton doit être exempt de composé chloré, la résistance caractéristique à la compression du béton au moment de la pose doit être au moins égal à celle prescrite dans l’Evaluation Technique Européenne, l’enrobage des armatures doit satisfaire à l’Eurocode 2.</w:t>
      </w:r>
    </w:p>
    <w:p>
      <w:pPr/>
      <w:r>
        <w:rPr>
          <w:b/>
          <w:bCs/>
        </w:rPr>
        <w:t xml:space="preserve">Justification</w:t>
      </w:r>
    </w:p>
    <w:p>
      <w:pPr/>
      <w:r>
        <w:rPr/>
        <w:t xml:space="preserve">Notice de pose du titulaire.</w:t>
      </w:r>
    </w:p>
    <w:p>
      <w:pPr/>
      <w:r>
        <w:rPr>
          <w:rStyle w:val="font_h1"/>
        </w:rPr>
        <w:t xml:space="preserve">7. Rôle des intervenants</w:t>
      </w:r>
    </w:p>
    <w:p>
      <w:pPr>
        <w:ind w:left="720" w:right="0"/>
      </w:pPr>
      <w:r>
        <w:rPr>
          <w:rStyle w:val="font_h2"/>
        </w:rPr>
        <w:t xml:space="preserve">7.1. Dimensionnement</w:t>
      </w:r>
    </w:p>
    <w:p>
      <w:pPr/>
      <w:r>
        <w:rPr/>
        <w:t xml:space="preserve">Validé par le Groupe Spécialisé le 14/02/2019</w:t>
      </w:r>
    </w:p>
    <w:p>
      <w:pPr/>
      <w:r>
        <w:rPr>
          <w:b/>
          <w:bCs/>
        </w:rPr>
        <w:t xml:space="preserve">Description</w:t>
      </w:r>
    </w:p>
    <w:p>
      <w:pPr/>
      <w:r>
        <w:rPr/>
        <w:t xml:space="preserve">Préciser le nom de l'entité ou entreprise intervenant lors du dimensionnement.</w:t>
      </w:r>
    </w:p>
    <w:p>
      <w:pPr>
        <w:ind w:left="720" w:right="0"/>
      </w:pPr>
      <w:r>
        <w:rPr>
          <w:rStyle w:val="font_h2"/>
        </w:rPr>
        <w:t xml:space="preserve">7.2. Mise en œuvre</w:t>
      </w:r>
    </w:p>
    <w:p>
      <w:pPr/>
      <w:r>
        <w:rPr/>
        <w:t xml:space="preserve">Validé par le Groupe Spécialisé le 14/02/2019</w:t>
      </w:r>
    </w:p>
    <w:p>
      <w:pPr/>
      <w:r>
        <w:rPr>
          <w:b/>
          <w:bCs/>
        </w:rPr>
        <w:t xml:space="preserve">Description</w:t>
      </w:r>
    </w:p>
    <w:p>
      <w:pPr/>
      <w:r>
        <w:rPr/>
        <w:t xml:space="preserve">Préciser le nom de l'entité ou entreprise intervenant lors de la mise en œuvre.</w:t>
      </w:r>
    </w:p>
    <w:p>
      <w:pPr>
        <w:ind w:left="720" w:right="0"/>
      </w:pPr>
      <w:r>
        <w:rPr>
          <w:rStyle w:val="font_h2"/>
        </w:rPr>
        <w:t xml:space="preserve">7.3. Assistance technique</w:t>
      </w:r>
    </w:p>
    <w:p>
      <w:pPr/>
      <w:r>
        <w:rPr/>
        <w:t xml:space="preserve">Validé par le Groupe Spécialisé le 14/02/2019</w:t>
      </w:r>
    </w:p>
    <w:p>
      <w:pPr/>
      <w:r>
        <w:rPr>
          <w:b/>
          <w:bCs/>
        </w:rPr>
        <w:t xml:space="preserve">Description</w:t>
      </w:r>
    </w:p>
    <w:p>
      <w:pPr/>
      <w:r>
        <w:rPr/>
        <w:t xml:space="preserve">Préciser le nom de l'entité ou entreprise fournissant une assistance technique et détailler le contenu de l'assistance technique.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de fixation fait l’objet d’un Déclaration Environnementale (DE) au sens de l’arrêté du 31 aout 2015.</w:t>
      </w:r>
    </w:p>
    <w:p>
      <w:pPr/>
      <w:r>
        <w:rPr>
          <w:b/>
          <w:bCs/>
        </w:rPr>
        <w:t xml:space="preserve">Critères d'évaluation</w:t>
      </w:r>
    </w:p>
    <w:p>
      <w:pPr/>
      <w:r>
        <w:rPr/>
        <w:t xml:space="preserve">Jurisprudence du GS 3.1 du 29/03/2018</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43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5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2026-05-15T18:00:40+02:00</dcterms:created>
  <dcterms:modified xsi:type="dcterms:W3CDTF">2026-05-15T18:00:40+02:00</dcterms:modified>
</cp:coreProperties>
</file>

<file path=docProps/custom.xml><?xml version="1.0" encoding="utf-8"?>
<Properties xmlns="http://schemas.openxmlformats.org/officeDocument/2006/custom-properties" xmlns:vt="http://schemas.openxmlformats.org/officeDocument/2006/docPropsVTypes"/>
</file>