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3.1 - Édité le 07/12/2025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3.1 « Planchers et accessoires de plancher »</w:t>
      </w:r>
    </w:p>
    <w:p>
      <w:pPr/>
      <w:r>
        <w:rPr>
          <w:rStyle w:val="font_default"/>
        </w:rPr>
        <w:t xml:space="preserve">Famille de produits ou procédés : </w:t>
      </w:r>
      <w:r>
        <w:rPr>
          <w:rStyle w:val="font_h3"/>
        </w:rPr>
        <w:t xml:space="preserve">Plancher à prédalles en béton armé avec treillis</w:t>
      </w:r>
    </w:p>
    <w:p>
      <w:pPr/>
      <w:r>
        <w:rPr>
          <w:rStyle w:val="font_h1"/>
        </w:rPr>
        <w:t xml:space="preserve">1. Description</w:t>
      </w:r>
    </w:p>
    <w:p>
      <w:pPr>
        <w:ind w:left="720" w:right="0"/>
      </w:pPr>
      <w:r>
        <w:rPr>
          <w:rStyle w:val="font_h2"/>
        </w:rPr>
        <w:t xml:space="preserve">1.1. Principe et domaine d'emploi</w:t>
      </w:r>
    </w:p>
    <w:p>
      <w:pPr/>
      <w:r>
        <w:rPr/>
        <w:t xml:space="preserve">Validé par le Groupe Spécialisé le 26/01/2023</w:t>
      </w:r>
    </w:p>
    <w:p>
      <w:pPr/>
      <w:r>
        <w:rPr>
          <w:b/>
          <w:bCs/>
        </w:rPr>
        <w:t xml:space="preserve">Description</w:t>
      </w:r>
    </w:p>
    <w:p>
      <w:pPr/>
      <w:r>
        <w:rPr/>
        <w:t xml:space="preserve">Le présent document est applicables aux prédalles à treillis raidisseurs uniquement.</w:t>
      </w:r>
    </w:p>
    <w:p>
      <w:pPr/>
      <w:r>
        <w:rPr/>
        <w:t xml:space="preserve">Définir la classe du système de plancher : épaisseur prédalle, épaisseur table de compression, hauteur des treillis raidisseurs, dimensions en plan. </w:t>
      </w:r>
    </w:p>
    <w:p>
      <w:pPr/>
      <w:r>
        <w:rPr/>
        <w:t xml:space="preserve">Définir le domaine d’emploi revendiqué : types d’ouvrages (localisation du plancher et nature du bâtiment), types de sollicitations (statiques, dynamiques, fatigue, chocs, …), conditions environnementales (classes d’exposition, atmosphères agressives,…), zones géographiques, zones sismiques et catégories d’importance de bâtiments, utilisation revendiquée dans les DOM-TOM</w:t>
      </w:r>
    </w:p>
    <w:p>
      <w:pPr/>
      <w:r>
        <w:rPr/>
        <w:t xml:space="preserve">Définir les finitions et revêtement revendiqués : revêtements de sol et plafonds.</w:t>
      </w:r>
    </w:p>
    <w:p>
      <w:pPr/>
      <w:r>
        <w:rPr/>
        <w:t xml:space="preserve">Depuis le 30 juin 2020, les demandes relatives à des procédés intégralement couverts par le domaine d'emploi du CPT ne sont plus recevables. Il convient d'expliciter les dérogations au NF DTU 23.4 et sa norme de calcul associée NF P19-206 ou à la norme produit NF EN 13747.</w:t>
      </w:r>
    </w:p>
    <w:p>
      <w:pPr>
        <w:ind w:left="720" w:right="0"/>
      </w:pPr>
      <w:r>
        <w:rPr>
          <w:rStyle w:val="font_h2"/>
        </w:rPr>
        <w:t xml:space="preserve">1.2. Description du procédé de plancher</w:t>
      </w:r>
    </w:p>
    <w:p>
      <w:pPr>
        <w:ind w:left="1440" w:right="0"/>
      </w:pPr>
      <w:r>
        <w:rPr>
          <w:rStyle w:val="font_h3"/>
        </w:rPr>
        <w:t xml:space="preserve">1.2.1. Définition des matériaux</w:t>
      </w:r>
    </w:p>
    <w:p>
      <w:pPr>
        <w:ind w:left="2160" w:right="0"/>
      </w:pPr>
      <w:r>
        <w:rPr>
          <w:rStyle w:val="font_h3"/>
        </w:rPr>
        <w:t xml:space="preserve">1.2.1.1. Aciers des raidisseurs</w:t>
      </w:r>
    </w:p>
    <w:p>
      <w:pPr/>
      <w:r>
        <w:rPr/>
        <w:t xml:space="preserve">Validé par le Groupe Spécialisé le 11/02/2021</w:t>
      </w:r>
    </w:p>
    <w:p>
      <w:pPr/>
      <w:r>
        <w:rPr>
          <w:b/>
          <w:bCs/>
        </w:rPr>
        <w:t xml:space="preserve">Description</w:t>
      </w:r>
    </w:p>
    <w:p>
      <w:pPr/>
      <w:r>
        <w:rPr/>
        <w:t xml:space="preserve">Définir la nature et les types d’armatures employées pour la fabrication des raidisseurs (caractéristiques géométriques des raidisseurs : hauteurs, pas entre branches, angles d’inclinaison des diagonales dans les plans longitudinal et transversal, largueur maximale en partie basse ; membrure inférieure-membrure supérieure et diagonale du raidisseur : diamètres, nuance de l’acier, armature à haute adhérence ou lisse, limite d’élasticité garantie, contrainte de rupture garantie, allongement garanti à la rupture, type et résistance de soudure entre treillis et membrures, existence d’un suivi de production de type certificat de conformité NF254.</w:t>
      </w:r>
    </w:p>
    <w:p>
      <w:pPr/>
      <w:r>
        <w:rPr>
          <w:b/>
          <w:bCs/>
        </w:rPr>
        <w:t xml:space="preserve">Justification</w:t>
      </w:r>
    </w:p>
    <w:p>
      <w:pPr/>
      <w:r>
        <w:rPr/>
        <w:t xml:space="preserve">Schémas illustrant les caractéristiques géométriques des raidisseurs : coupe transversale / coupe longitudinale des raidisseurs.</w:t>
      </w:r>
    </w:p>
    <w:p>
      <w:pPr>
        <w:ind w:left="2160" w:right="0"/>
      </w:pPr>
      <w:r>
        <w:rPr>
          <w:rStyle w:val="font_h3"/>
        </w:rPr>
        <w:t xml:space="preserve">1.2.1.2. Armatures complémentaires</w:t>
      </w:r>
    </w:p>
    <w:p>
      <w:pPr/>
      <w:r>
        <w:rPr/>
        <w:t xml:space="preserve">Validé par le Groupe Spécialisé le 11/02/2021</w:t>
      </w:r>
    </w:p>
    <w:p>
      <w:pPr/>
      <w:r>
        <w:rPr>
          <w:b/>
          <w:bCs/>
        </w:rPr>
        <w:t xml:space="preserve">Description</w:t>
      </w:r>
    </w:p>
    <w:p>
      <w:pPr/>
      <w:r>
        <w:rPr/>
        <w:t xml:space="preserve">Dans la prédalle : définir la nature et le type d’armature utilisée pour armer la prédalle (nuances de l’acier, lisse ou cranté, diamètres, espacements maximaux des armatures dans les sens parallèle et perpendiculaire aux treillis soudés, …).</w:t>
      </w:r>
    </w:p>
    <w:p>
      <w:pPr/>
      <w:r>
        <w:rPr/>
        <w:t xml:space="preserve">Dans la dalle de compression : définir le treillis soudé (nuance de l’acier, espacements maximaux des armatures dans les sens parallèle et perpendiculaire aux treillis soudés), les renforts (nuance de l’acier), les armatures en chapeaux (treillis soudé, barres : cranté ou lisse, nuance de l’acier).</w:t>
      </w:r>
    </w:p>
    <w:p>
      <w:pPr>
        <w:ind w:left="2160" w:right="0"/>
      </w:pPr>
      <w:r>
        <w:rPr>
          <w:rStyle w:val="font_h3"/>
        </w:rPr>
        <w:t xml:space="preserve">1.2.1.3. Accessoires</w:t>
      </w:r>
    </w:p>
    <w:p>
      <w:pPr/>
      <w:r>
        <w:rPr/>
        <w:t xml:space="preserve">Validé par le Groupe Spécialisé le 11/02/2021</w:t>
      </w:r>
    </w:p>
    <w:p>
      <w:pPr/>
      <w:r>
        <w:rPr>
          <w:b/>
          <w:bCs/>
        </w:rPr>
        <w:t xml:space="preserve">Description</w:t>
      </w:r>
    </w:p>
    <w:p>
      <w:pPr/>
      <w:r>
        <w:rPr/>
        <w:t xml:space="preserve">Définir la nature et le type d’inserts relatifs aux dispositions de protection collective, définir la nature et le type d’inserts utilisés pour le levage des prédalles si le levage ne se fait pas via les treillis raidisseurs, etc.</w:t>
      </w:r>
    </w:p>
    <w:p>
      <w:pPr>
        <w:ind w:left="2160" w:right="0"/>
      </w:pPr>
      <w:r>
        <w:rPr>
          <w:rStyle w:val="font_h3"/>
        </w:rPr>
        <w:t xml:space="preserve">1.2.1.4. Béton des prédalles</w:t>
      </w:r>
    </w:p>
    <w:p>
      <w:pPr/>
      <w:r>
        <w:rPr/>
        <w:t xml:space="preserve">Validé par le Groupe Spécialisé le 30/01/2025</w:t>
      </w:r>
    </w:p>
    <w:p>
      <w:pPr/>
      <w:r>
        <w:rPr>
          <w:b/>
          <w:bCs/>
        </w:rPr>
        <w:t xml:space="preserve">Description</w:t>
      </w:r>
    </w:p>
    <w:p>
      <w:pPr/>
      <w:r>
        <w:rPr/>
        <w:t xml:space="preserve">Préciser le type de sable et de granulats (lourds, légers, …), la limitation de la granulométrie, la résistance caractéristique en compression à 28 jours f</w:t>
      </w:r>
      <w:r>
        <w:rPr>
          <w:vertAlign w:val="subscript"/>
        </w:rPr>
        <w:t xml:space="preserve">ck</w:t>
      </w:r>
      <w:r>
        <w:rPr/>
        <w:t xml:space="preserve">, les caractéristiques de durabilité.</w:t>
      </w:r>
    </w:p>
    <w:p>
      <w:pPr/>
      <w:r>
        <w:rPr/>
        <w:t xml:space="preserve">Préciser la nature du ciment et justifier la conformité à la norme NF EN 206+A2/CN.</w:t>
      </w:r>
    </w:p>
    <w:p>
      <w:pPr>
        <w:ind w:left="2160" w:right="0"/>
      </w:pPr>
      <w:r>
        <w:rPr>
          <w:rStyle w:val="font_h3"/>
        </w:rPr>
        <w:t xml:space="preserve">1.2.1.5. Béton coulé en oeuvre</w:t>
      </w:r>
    </w:p>
    <w:p>
      <w:pPr/>
      <w:r>
        <w:rPr/>
        <w:t xml:space="preserve">Validé par le Groupe Spécialisé le 30/01/2025</w:t>
      </w:r>
    </w:p>
    <w:p>
      <w:pPr/>
      <w:r>
        <w:rPr>
          <w:b/>
          <w:bCs/>
        </w:rPr>
        <w:t xml:space="preserve">Description</w:t>
      </w:r>
    </w:p>
    <w:p>
      <w:pPr/>
      <w:r>
        <w:rPr/>
        <w:t xml:space="preserve">Préciser le type de sable et de granulats (lourds, légers, …), la résistance caractéristique en compression à 28 jours f</w:t>
      </w:r>
      <w:r>
        <w:rPr>
          <w:vertAlign w:val="subscript"/>
        </w:rPr>
        <w:t xml:space="preserve">ck</w:t>
      </w:r>
      <w:r>
        <w:rPr/>
        <w:t xml:space="preserve">, les caractéristiques de durabilité,la possibilité d’ajouter des fibres, la proportion volumique de granulats en cas d’utilisation de béton auto-plaçant.</w:t>
      </w:r>
    </w:p>
    <w:p>
      <w:pPr/>
      <w:r>
        <w:rPr/>
        <w:t xml:space="preserve">Préciser la nature du ciment et justifier la conformité à la norme NF EN 206+A2/CN.</w:t>
      </w:r>
    </w:p>
    <w:p>
      <w:pPr>
        <w:ind w:left="2160" w:right="0"/>
      </w:pPr>
      <w:r>
        <w:rPr>
          <w:rStyle w:val="font_h3"/>
        </w:rPr>
        <w:t xml:space="preserve">1.2.1.6. Matériau d'élégissement éventuel</w:t>
      </w:r>
    </w:p>
    <w:p>
      <w:pPr/>
      <w:r>
        <w:rPr/>
        <w:t xml:space="preserve">Validé par le Groupe Spécialisé le 30/01/2025</w:t>
      </w:r>
    </w:p>
    <w:p>
      <w:pPr/>
      <w:r>
        <w:rPr>
          <w:b/>
          <w:bCs/>
        </w:rPr>
        <w:t xml:space="preserve">Description</w:t>
      </w:r>
    </w:p>
    <w:p>
      <w:pPr/>
      <w:r>
        <w:rPr/>
        <w:t xml:space="preserve">Décrire le matériau d'élégissement. </w:t>
      </w:r>
    </w:p>
    <w:p>
      <w:pPr/>
      <w:r>
        <w:rPr/>
        <w:t xml:space="preserve">Le GS n°20 sera consulté dans les cas où le matériau d'élégissement est un matériau biosourcé.</w:t>
      </w:r>
    </w:p>
    <w:p>
      <w:pPr/>
      <w:r>
        <w:rPr>
          <w:b/>
          <w:bCs/>
        </w:rPr>
        <w:t xml:space="preserve">Justification</w:t>
      </w:r>
    </w:p>
    <w:p>
      <w:pPr/>
      <w:r>
        <w:rPr/>
        <w:t xml:space="preserve">Le risque de développement fongique du matériau biosourcé sera évalué en tenant compte de l'usage du matériau d'élégissement pouvant être spécifique au procédé.</w:t>
      </w:r>
    </w:p>
    <w:p>
      <w:pPr>
        <w:ind w:left="1440" w:right="0"/>
      </w:pPr>
      <w:r>
        <w:rPr>
          <w:rStyle w:val="font_h3"/>
        </w:rPr>
        <w:t xml:space="preserve">1.2.2. Description des éléments préfabriqués</w:t>
      </w:r>
    </w:p>
    <w:p>
      <w:pPr/>
      <w:r>
        <w:rPr/>
        <w:t xml:space="preserve">Validé par le Groupe Spécialisé le 11/02/2021</w:t>
      </w:r>
    </w:p>
    <w:p>
      <w:pPr/>
      <w:r>
        <w:rPr>
          <w:b/>
          <w:bCs/>
        </w:rPr>
        <w:t xml:space="preserve">Description</w:t>
      </w:r>
    </w:p>
    <w:p>
      <w:pPr/>
      <w:r>
        <w:rPr/>
        <w:t xml:space="preserve">Décrire les prédalles et préciser : </w:t>
      </w:r>
    </w:p>
    <w:p>
      <w:pPr>
        <w:pPr/>
        <w:numPr>
          <w:ilvl w:val="0"/>
          <w:numId w:val="9"/>
        </w:numPr>
      </w:pPr>
      <w:r>
        <w:rPr/>
        <w:t xml:space="preserve">le positionnement des treillis raidisseurs et des aciers longitudinaux et transversaux (calage en hauteur, entraxes) ; </w:t>
      </w:r>
    </w:p>
    <w:p>
      <w:pPr>
        <w:pPr/>
        <w:numPr>
          <w:ilvl w:val="0"/>
          <w:numId w:val="9"/>
        </w:numPr>
      </w:pPr>
      <w:r>
        <w:rPr/>
        <w:t xml:space="preserve">la section courante des prédalles : épaisseurs nominales des prédalles, enrobages nominaux minimaux (par rapport aux faces inférieures et supérieures des prédalles) des aciers filants inférieurs des treillis raidisseurs ;</w:t>
      </w:r>
    </w:p>
    <w:p>
      <w:pPr>
        <w:pPr/>
        <w:numPr>
          <w:ilvl w:val="0"/>
          <w:numId w:val="9"/>
        </w:numPr>
      </w:pPr>
      <w:r>
        <w:rPr/>
        <w:t xml:space="preserve">les tolérances de positionnement vertical des treillis raidisseurs et tolérances sur l’épaisseur du béton de la prédalle ;</w:t>
      </w:r>
    </w:p>
    <w:p>
      <w:pPr>
        <w:pPr/>
        <w:numPr>
          <w:ilvl w:val="0"/>
          <w:numId w:val="9"/>
        </w:numPr>
      </w:pPr>
      <w:r>
        <w:rPr/>
        <w:t xml:space="preserve">l'état de surface de la face supérieure de la prédalle au sens l’art. 6.2.5 de la NF EN 1992-1-1 ou du § 2.4.4.2.1 du référentiel de certification NF 396 ;</w:t>
      </w:r>
    </w:p>
    <w:p>
      <w:pPr>
        <w:pPr/>
        <w:numPr>
          <w:ilvl w:val="0"/>
          <w:numId w:val="9"/>
        </w:numPr>
      </w:pPr>
      <w:r>
        <w:rPr/>
        <w:t xml:space="preserve">l'identification de la gamme de prédalles (principe de dénomination, exemples de dénomination, informations fournies dans le « marquage » des prédalles pour garantir la traçabilité du produit, …) et le poids des prédalles.</w:t>
      </w:r>
    </w:p>
    <w:p>
      <w:pPr/>
      <w:r>
        <w:rPr>
          <w:b/>
          <w:bCs/>
        </w:rPr>
        <w:t xml:space="preserve">Justification</w:t>
      </w:r>
    </w:p>
    <w:p>
      <w:pPr/>
      <w:r>
        <w:rPr/>
        <w:t xml:space="preserve">Schémas illustrant les caractéristiques géométriques des prédalles : coupe transversale / coupe longitudinale.</w:t>
      </w:r>
    </w:p>
    <w:p>
      <w:pPr>
        <w:ind w:left="720" w:right="0"/>
      </w:pPr>
      <w:r>
        <w:rPr>
          <w:rStyle w:val="font_h2"/>
        </w:rPr>
        <w:t xml:space="preserve">1.3. Fabrication et contrôles</w:t>
      </w:r>
    </w:p>
    <w:p>
      <w:pPr>
        <w:ind w:left="1440" w:right="0"/>
      </w:pPr>
      <w:r>
        <w:rPr>
          <w:rStyle w:val="font_h3"/>
        </w:rPr>
        <w:t xml:space="preserve">1.3.1. Fabrication des prédalles</w:t>
      </w:r>
    </w:p>
    <w:p>
      <w:pPr/>
      <w:r>
        <w:rPr/>
        <w:t xml:space="preserve">Validé par le Groupe Spécialisé le 11/02/2021</w:t>
      </w:r>
    </w:p>
    <w:p>
      <w:pPr/>
      <w:r>
        <w:rPr>
          <w:b/>
          <w:bCs/>
        </w:rPr>
        <w:t xml:space="preserve">Description</w:t>
      </w:r>
    </w:p>
    <w:p>
      <w:pPr/>
      <w:r>
        <w:rPr/>
        <w:t xml:space="preserve">Décrire le processus de fabrication des prédalles en usine : équipements (moules, machines à production continue, …), mode de fabrication des raidisseurs (façonnage, pliage, soudure, longueur standard, …), description des étapes de préfabrication (calage, réservations, bétonnage, démoulage, stockage …).</w:t>
      </w:r>
    </w:p>
    <w:p>
      <w:pPr>
        <w:ind w:left="1440" w:right="0"/>
      </w:pPr>
      <w:r>
        <w:rPr>
          <w:rStyle w:val="font_h3"/>
        </w:rPr>
        <w:t xml:space="preserve">1.3.2. Contrôles</w:t>
      </w:r>
    </w:p>
    <w:p>
      <w:pPr/>
      <w:r>
        <w:rPr/>
        <w:t xml:space="preserve">Validé par le Groupe Spécialisé le 11/02/2021</w:t>
      </w:r>
    </w:p>
    <w:p>
      <w:pPr/>
      <w:r>
        <w:rPr>
          <w:b/>
          <w:bCs/>
        </w:rPr>
        <w:t xml:space="preserve">Description</w:t>
      </w:r>
    </w:p>
    <w:p>
      <w:pPr/>
      <w:r>
        <w:rPr/>
        <w:t xml:space="preserve">Décrire le système de contrôle de production et du suivi par tierce partie.</w:t>
      </w:r>
    </w:p>
    <w:p>
      <w:pPr/>
      <w:r>
        <w:rPr/>
        <w:t xml:space="preserve">Décrire contrôle interne mis en place sur la fabrication des prédalles et des raidisseurs (exigences de contrôle à définir : qualité des soudures, tolérances dimensionnelles, enrobages, qualité du béton, résistance mécanique en situation transitoire, traçabilité, …)</w:t>
      </w:r>
    </w:p>
    <w:p>
      <w:pPr/>
      <w:r>
        <w:rPr/>
        <w:t xml:space="preserve">Décrire le contrôle externe effectué par un organisme tiers sur la production des raidisseurs et des prédalles. </w:t>
      </w:r>
    </w:p>
    <w:p>
      <w:pPr/>
      <w:r>
        <w:rPr/>
        <w:t xml:space="preserve">La fabrication de l’armature métallique en treillis doit faire l’objet d’un autocontrôle surveillé (par un organisme tiers) de type référentiel de certification NF Armatures réalisé par l'AFCAB ou équivalent. Les prédalles doivent faire l’objet d’un marquage CE selon la norme NF EN 13747+A2.</w:t>
      </w:r>
    </w:p>
    <w:p>
      <w:pPr>
        <w:ind w:left="720" w:right="0"/>
      </w:pPr>
      <w:r>
        <w:rPr>
          <w:rStyle w:val="font_h2"/>
        </w:rPr>
        <w:t xml:space="preserve">1.4. Conception et mise en oeuvre</w:t>
      </w:r>
    </w:p>
    <w:p>
      <w:pPr>
        <w:ind w:left="1440" w:right="0"/>
      </w:pPr>
      <w:r>
        <w:rPr>
          <w:rStyle w:val="font_h3"/>
        </w:rPr>
        <w:t xml:space="preserve">1.4.1. Tableau des portées limites de mise en oeuvre en phase provisoire</w:t>
      </w:r>
    </w:p>
    <w:p>
      <w:pPr/>
      <w:r>
        <w:rPr/>
        <w:t xml:space="preserve">Validé par le Groupe Spécialisé le 26/01/2023</w:t>
      </w:r>
    </w:p>
    <w:p>
      <w:pPr/>
      <w:r>
        <w:rPr>
          <w:b/>
          <w:bCs/>
        </w:rPr>
        <w:t xml:space="preserve">Description</w:t>
      </w:r>
    </w:p>
    <w:p>
      <w:pPr/>
      <w:r>
        <w:rPr/>
        <w:t xml:space="preserve">Afficher les portées limites de mise en œuvre pour les différentes gammes de prédalles visées (épaisseur, types de raidisseurs, écartement et positionnement des raidisseurs, critère de déformation,  …) en fonction du poids propre du plancher.</w:t>
      </w:r>
    </w:p>
    <w:p>
      <w:pPr/>
      <w:r>
        <w:rPr>
          <w:b/>
          <w:bCs/>
        </w:rPr>
        <w:t xml:space="preserve">Justification</w:t>
      </w:r>
    </w:p>
    <w:p>
      <w:pPr/>
      <w:r>
        <w:rPr/>
        <w:t xml:space="preserve">Résistance mécanique des prédalles en phase provisoire : </w:t>
      </w:r>
    </w:p>
    <w:p>
      <w:pPr/>
      <w:r>
        <w:rPr/>
        <w:t xml:space="preserve">Réalisation des essais de flexion et de cisaillement suivant les prescriptions de l’Annexe J de la NF EN 13747+A2 complétées par le document "Protocole d'essais pour la détermination des performances mécaniques des prédalles en phase provisoire" ; justification des portées d’étaiement conformément aux prescriptions du §7 de la NF P19-206. </w:t>
      </w:r>
    </w:p>
    <w:p>
      <w:pPr/>
      <w:r>
        <w:rPr/>
        <w:t xml:space="preserve">Justification de l’établissement du tableau de portées limites de mise en œuvre en phase provisoire pour les différentes gammes de prédalles visées (épaisseur, types de raidisseurs, écartement et positionnement des raidisseurs, critère de déformation,  …) en fonction du poids propre du plancher.</w:t>
      </w:r>
    </w:p>
    <w:p>
      <w:pPr>
        <w:ind w:left="1440" w:right="0"/>
      </w:pPr>
      <w:r>
        <w:rPr>
          <w:rStyle w:val="font_h3"/>
        </w:rPr>
        <w:t xml:space="preserve">1.4.2. Conception et dimensionnement</w:t>
      </w:r>
    </w:p>
    <w:p>
      <w:pPr/>
      <w:r>
        <w:rPr/>
        <w:t xml:space="preserve">Validé par le Groupe Spécialisé le 26/01/2023</w:t>
      </w:r>
    </w:p>
    <w:p>
      <w:pPr/>
      <w:r>
        <w:rPr>
          <w:b/>
          <w:bCs/>
        </w:rPr>
        <w:t xml:space="preserve">Description</w:t>
      </w:r>
    </w:p>
    <w:p>
      <w:pPr/>
      <w:r>
        <w:rPr/>
        <w:t xml:space="preserve">Décrire la méthode de dimensionnement si celle-ci déroge au NF DTU 23.4 et la norme de calcul associée NF P19-206, choix de la conception parasismique, description du rôle des intervenants dans la conception et le dimensionnement du procédé (BET titulaire, BET structure, ...).</w:t>
      </w:r>
    </w:p>
    <w:p>
      <w:pPr/>
      <w:r>
        <w:rPr>
          <w:b/>
          <w:bCs/>
        </w:rPr>
        <w:t xml:space="preserve">Justification</w:t>
      </w:r>
    </w:p>
    <w:p>
      <w:pPr/>
      <w:r>
        <w:rPr/>
        <w:t xml:space="preserve">Les dérogations aux prescriptions du DTU et la norme de calcul associée devront être justifiées par la réalisation d’études et/ou d’essais.</w:t>
      </w:r>
    </w:p>
    <w:p>
      <w:pPr/>
      <w:r>
        <w:rPr/>
        <w:t xml:space="preserve">Résistance mécanique des plancher à prédalles en phase définitive : produire un exemple de note de calcul pour une configuration représentative du domaine d’utilisation visé. </w:t>
      </w:r>
    </w:p>
    <w:p>
      <w:pPr/>
      <w:r>
        <w:rPr/>
        <w:t xml:space="preserve">Prédalles suspendues : produire un exemple de dimensionnement d’un plancher à prédalle suspendue respectant les prescriptions du Fascicule de documentation FD P18-720. En cas d'utilisation avec exigences sismiques, produire un exemple de dimensionnement d’un plancher à prédalle suspendue en situation sismique respectant les prescriptions du Fascicule de documentation FD P18-720.</w:t>
      </w:r>
    </w:p>
    <w:p>
      <w:pPr>
        <w:ind w:left="1440" w:right="0"/>
      </w:pPr>
      <w:r>
        <w:rPr>
          <w:rStyle w:val="font_h3"/>
        </w:rPr>
        <w:t xml:space="preserve">1.4.3. Mise en oeuvre</w:t>
      </w:r>
    </w:p>
    <w:p>
      <w:pPr/>
      <w:r>
        <w:rPr/>
        <w:t xml:space="preserve">Validé par le Groupe Spécialisé le 11/02/2021</w:t>
      </w:r>
    </w:p>
    <w:p>
      <w:pPr/>
      <w:r>
        <w:rPr>
          <w:b/>
          <w:bCs/>
        </w:rPr>
        <w:t xml:space="preserve">Description</w:t>
      </w:r>
    </w:p>
    <w:p>
      <w:pPr/>
      <w:r>
        <w:rPr/>
        <w:t xml:space="preserve">Décrire la chronologie de mise en œuvre du plancher : préparation des appuis, étaiement (description des dispositifs d’étaiement), ferraillage, bétonnage (définition de l’épaisseur minimale de la dalle de compression au-dessus de l’acier filant supérieur des treillis raidisseurs) ; traitement des points singuliers (trémies, encorbellements,…) ; prescriptions concernant le stockage, la manutention et la pose.</w:t>
      </w:r>
    </w:p>
    <w:p>
      <w:pPr/>
      <w:r>
        <w:rPr>
          <w:b/>
          <w:bCs/>
        </w:rPr>
        <w:t xml:space="preserve">Justification</w:t>
      </w:r>
    </w:p>
    <w:p>
      <w:pPr/>
      <w:r>
        <w:rPr/>
        <w:t xml:space="preserve">Schémas illustrant les détails des conditions d’appuis minimales des prédalles (avec distinction de la situation sismique).</w:t>
      </w:r>
    </w:p>
    <w:p>
      <w:pPr/>
      <w:r>
        <w:rPr>
          <w:rStyle w:val="font_h1"/>
        </w:rPr>
        <w:t xml:space="preserve">2. Résultats expérimentaux</w:t>
      </w:r>
    </w:p>
    <w:p>
      <w:pPr/>
      <w:r>
        <w:rPr/>
        <w:t xml:space="preserve">Validé par le Groupe Spécialisé le 11/02/2021</w:t>
      </w:r>
    </w:p>
    <w:p>
      <w:pPr/>
      <w:r>
        <w:rPr>
          <w:b/>
          <w:bCs/>
        </w:rPr>
        <w:t xml:space="preserve">Description</w:t>
      </w:r>
    </w:p>
    <w:p>
      <w:pPr/>
      <w:r>
        <w:rPr/>
        <w:t xml:space="preserve">Lister les rapports d’essai accompagnant le Dossier Technique (essais mécaniques en phase provisoire, essais au feu, essais de levage, …).</w:t>
      </w:r>
    </w:p>
    <w:p>
      <w:pPr/>
      <w:r>
        <w:rPr>
          <w:rStyle w:val="font_h1"/>
        </w:rPr>
        <w:t xml:space="preserve">3. Références</w:t>
      </w:r>
    </w:p>
    <w:p>
      <w:pPr>
        <w:ind w:left="720" w:right="0"/>
      </w:pPr>
      <w:r>
        <w:rPr>
          <w:rStyle w:val="font_h2"/>
        </w:rPr>
        <w:t xml:space="preserve">3.1. Données environnementales</w:t>
      </w:r>
    </w:p>
    <w:p>
      <w:pPr/>
      <w:r>
        <w:rPr/>
        <w:t xml:space="preserve">Validé par le Groupe Spécialisé le 11/02/2021</w:t>
      </w:r>
    </w:p>
    <w:p>
      <w:pPr/>
      <w:r>
        <w:rPr>
          <w:b/>
          <w:bCs/>
        </w:rPr>
        <w:t xml:space="preserve">Description</w:t>
      </w:r>
    </w:p>
    <w:p>
      <w:pPr/>
      <w:r>
        <w:rPr/>
        <w:t xml:space="preserve">Informer de l’existence (ou non) de Fiches de déclaration environnementale et sanitaire (FDES) et Fiche de Sécurité (FDS)  ou déclaration environnementale produit (DEP).</w:t>
      </w:r>
    </w:p>
    <w:p>
      <w:pPr>
        <w:ind w:left="720" w:right="0"/>
      </w:pPr>
      <w:r>
        <w:rPr>
          <w:rStyle w:val="font_h2"/>
        </w:rPr>
        <w:t xml:space="preserve">3.2. Autres références</w:t>
      </w:r>
    </w:p>
    <w:p>
      <w:pPr/>
      <w:r>
        <w:rPr/>
        <w:t xml:space="preserve">Validé par le Groupe Spécialisé le 11/02/2021</w:t>
      </w:r>
    </w:p>
    <w:p>
      <w:pPr/>
      <w:r>
        <w:rPr>
          <w:b/>
          <w:bCs/>
        </w:rPr>
        <w:t xml:space="preserve">Description</w:t>
      </w:r>
    </w:p>
    <w:p>
      <w:pPr/>
      <w:r>
        <w:rPr/>
        <w:t xml:space="preserve">Liste de références de réalisations en précisant pour chacune d’elles la situation, la nature de l’ouvrage, la date de mise en service de l’ouvrage, ainsi que les coordonnées des principaux intervenants.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18169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2025-12-07T11:18:18+01:00</dcterms:created>
  <dcterms:modified xsi:type="dcterms:W3CDTF">2025-12-07T11:18:18+01:00</dcterms:modified>
</cp:coreProperties>
</file>

<file path=docProps/custom.xml><?xml version="1.0" encoding="utf-8"?>
<Properties xmlns="http://schemas.openxmlformats.org/officeDocument/2006/custom-properties" xmlns:vt="http://schemas.openxmlformats.org/officeDocument/2006/docPropsVTypes"/>
</file>