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intérieur d'étanchéité de cuvelage</w:t>
      </w:r>
    </w:p>
    <w:p>
      <w:pPr/>
      <w:r>
        <w:rPr>
          <w:rStyle w:val="font_h1"/>
        </w:rPr>
        <w:t xml:space="preserve">1. Principe</w:t>
      </w:r>
    </w:p>
    <w:p>
      <w:pPr/>
      <w:r>
        <w:rPr>
          <w:rStyle w:val="font_h1"/>
        </w:rPr>
        <w:t xml:space="preserve">2. Domaine et limitations d’emploi</w:t>
      </w:r>
    </w:p>
    <w:p>
      <w:pPr/>
      <w:r>
        <w:rPr>
          <w:rStyle w:val="font_h1"/>
        </w:rPr>
        <w:t xml:space="preserve">3. Fabrication des composants</w:t>
      </w:r>
    </w:p>
    <w:p>
      <w:pPr/>
      <w:r>
        <w:rPr>
          <w:rStyle w:val="font_h1"/>
        </w:rPr>
        <w:t xml:space="preserve">4. Conception et supports admissibles</w:t>
      </w:r>
    </w:p>
    <w:p>
      <w:pPr>
        <w:ind w:left="720" w:right="0"/>
      </w:pPr>
      <w:r>
        <w:rPr>
          <w:rStyle w:val="font_h2"/>
        </w:rPr>
        <w:t xml:space="preserve">4.1. Conception du gros œuvre</w:t>
      </w:r>
    </w:p>
    <w:p>
      <w:pPr>
        <w:ind w:left="720" w:right="0"/>
      </w:pPr>
      <w:r>
        <w:rPr>
          <w:rStyle w:val="font_h2"/>
        </w:rPr>
        <w:t xml:space="preserve">4.2. Dispositions constructives</w:t>
      </w:r>
    </w:p>
    <w:p>
      <w:pPr>
        <w:ind w:left="720" w:right="0"/>
      </w:pPr>
      <w:r>
        <w:rPr>
          <w:rStyle w:val="font_h2"/>
        </w:rPr>
        <w:t xml:space="preserve">4.3. Gros œuvre</w:t>
      </w:r>
    </w:p>
    <w:p>
      <w:pPr>
        <w:ind w:left="720" w:right="0"/>
      </w:pPr>
      <w:r>
        <w:rPr>
          <w:rStyle w:val="font_h2"/>
        </w:rPr>
        <w:t xml:space="preserve">4.4. Constat contradictoire de l’état du support</w:t>
      </w:r>
    </w:p>
    <w:p>
      <w:pPr>
        <w:ind w:left="720" w:right="0"/>
      </w:pPr>
      <w:r>
        <w:rPr>
          <w:rStyle w:val="font_h2"/>
        </w:rPr>
        <w:t xml:space="preserve">4.5. Mise hors d’eau</w:t>
      </w:r>
    </w:p>
    <w:p>
      <w:pPr>
        <w:ind w:left="720" w:right="0"/>
      </w:pPr>
      <w:r>
        <w:rPr>
          <w:rStyle w:val="font_h2"/>
        </w:rPr>
        <w:t xml:space="preserve">4.6. Réparations des défauts du béton</w:t>
      </w:r>
    </w:p>
    <w:p>
      <w:pPr>
        <w:ind w:left="720" w:right="0"/>
      </w:pPr>
      <w:r>
        <w:rPr>
          <w:rStyle w:val="font_h2"/>
        </w:rPr>
        <w:t xml:space="preserve">4.7. Préparation de surface pour la mise en œuvre du procédé</w:t>
      </w:r>
    </w:p>
    <w:p>
      <w:pPr>
        <w:ind w:left="720" w:right="0"/>
      </w:pPr>
      <w:r>
        <w:rPr>
          <w:rStyle w:val="font_h2"/>
        </w:rPr>
        <w:t xml:space="preserve">4.8. Traitement des liaisons structures résistantes/béton</w:t>
      </w:r>
    </w:p>
    <w:p>
      <w:pPr>
        <w:ind w:left="720" w:right="0"/>
      </w:pPr>
      <w:r>
        <w:rPr>
          <w:rStyle w:val="font_h2"/>
        </w:rPr>
        <w:t xml:space="preserve">4.9. Traitement des joints inertes</w:t>
      </w:r>
    </w:p>
    <w:p>
      <w:pPr>
        <w:ind w:left="720" w:right="0"/>
      </w:pPr>
      <w:r>
        <w:rPr>
          <w:rStyle w:val="font_h2"/>
        </w:rPr>
        <w:t xml:space="preserve">4.10. Traitement des joints actifs</w:t>
      </w:r>
    </w:p>
    <w:p>
      <w:pPr>
        <w:ind w:left="720" w:right="0"/>
      </w:pPr>
      <w:r>
        <w:rPr>
          <w:rStyle w:val="font_h2"/>
        </w:rPr>
        <w:t xml:space="preserve">4.11. Joint de fonctionnement</w:t>
      </w:r>
    </w:p>
    <w:p>
      <w:pPr>
        <w:ind w:left="720" w:right="0"/>
      </w:pPr>
      <w:r>
        <w:rPr>
          <w:rStyle w:val="font_h2"/>
        </w:rPr>
        <w:t xml:space="preserve">4.12. Joints de parois moulées</w:t>
      </w:r>
    </w:p>
    <w:p>
      <w:pPr>
        <w:ind w:left="720" w:right="0"/>
      </w:pPr>
      <w:r>
        <w:rPr>
          <w:rStyle w:val="font_h2"/>
        </w:rPr>
        <w:t xml:space="preserve">4.13. Traversées</w:t>
      </w:r>
    </w:p>
    <w:p>
      <w:pPr>
        <w:ind w:left="720" w:right="0"/>
      </w:pPr>
      <w:r>
        <w:rPr>
          <w:rStyle w:val="font_h2"/>
        </w:rPr>
        <w:t xml:space="preserve">4.14. Huisserie</w:t>
      </w:r>
    </w:p>
    <w:p>
      <w:pPr>
        <w:ind w:left="720" w:right="0"/>
      </w:pPr>
      <w:r>
        <w:rPr>
          <w:rStyle w:val="font_h2"/>
        </w:rPr>
        <w:t xml:space="preserve">4.15. Tirant d’ancrage</w:t>
      </w:r>
    </w:p>
    <w:p>
      <w:pPr>
        <w:ind w:left="720" w:right="0"/>
      </w:pPr>
      <w:r>
        <w:rPr>
          <w:rStyle w:val="font_h2"/>
        </w:rPr>
        <w:t xml:space="preserve">4.16. Puisards Regards-Caniveaux</w:t>
      </w:r>
    </w:p>
    <w:p>
      <w:pPr/>
      <w:r>
        <w:rPr>
          <w:rStyle w:val="font_h1"/>
        </w:rPr>
        <w:t xml:space="preserve">5. Parties d’ouvrage exposées aux eaux de pluie</w:t>
      </w:r>
    </w:p>
    <w:p>
      <w:pPr/>
      <w:r>
        <w:rPr>
          <w:rStyle w:val="font_h1"/>
        </w:rPr>
        <w:t xml:space="preserve">6. Locaux inondables</w:t>
      </w:r>
    </w:p>
    <w:p>
      <w:pPr/>
      <w:r>
        <w:rPr>
          <w:rStyle w:val="font_h1"/>
        </w:rPr>
        <w:t xml:space="preserve">7. Eaux de ruissellement de surface</w:t>
      </w:r>
    </w:p>
    <w:p>
      <w:pPr/>
      <w:r>
        <w:rPr>
          <w:rStyle w:val="font_h1"/>
        </w:rPr>
        <w:t xml:space="preserve">8. Mise en œuvre</w:t>
      </w:r>
    </w:p>
    <w:p>
      <w:pPr>
        <w:ind w:left="720" w:right="0"/>
      </w:pPr>
      <w:r>
        <w:rPr>
          <w:rStyle w:val="font_h2"/>
        </w:rPr>
        <w:t xml:space="preserve">8.1. Conditions d’ambiance</w:t>
      </w:r>
    </w:p>
    <w:p>
      <w:pPr>
        <w:ind w:left="720" w:right="0"/>
      </w:pPr>
      <w:r>
        <w:rPr>
          <w:rStyle w:val="font_h2"/>
        </w:rPr>
        <w:t xml:space="preserve">8.2. Mise en œuvre</w:t>
      </w:r>
    </w:p>
    <w:p>
      <w:pPr>
        <w:ind w:left="720" w:right="0"/>
      </w:pPr>
      <w:r>
        <w:rPr>
          <w:rStyle w:val="font_h2"/>
        </w:rPr>
        <w:t xml:space="preserve">8.3. Consommations</w:t>
      </w:r>
    </w:p>
    <w:p>
      <w:pPr>
        <w:ind w:left="720" w:right="0"/>
      </w:pPr>
      <w:r>
        <w:rPr>
          <w:rStyle w:val="font_h2"/>
        </w:rPr>
        <w:t xml:space="preserve">8.4. Contrôle de la mise en œuvre</w:t>
      </w:r>
    </w:p>
    <w:p>
      <w:pPr>
        <w:ind w:left="720" w:right="0"/>
      </w:pPr>
      <w:r>
        <w:rPr>
          <w:rStyle w:val="font_h2"/>
        </w:rPr>
        <w:t xml:space="preserve">8.5. Rattrapage de planéité</w:t>
      </w:r>
    </w:p>
    <w:p>
      <w:pPr/>
      <w:r>
        <w:rPr>
          <w:rStyle w:val="font_h1"/>
        </w:rPr>
        <w:t xml:space="preserve">9. Scellement</w:t>
      </w:r>
    </w:p>
    <w:p>
      <w:pPr>
        <w:ind w:left="720" w:right="0"/>
      </w:pPr>
      <w:r>
        <w:rPr>
          <w:rStyle w:val="font_h2"/>
        </w:rPr>
        <w:t xml:space="preserve">9.1. Généralités</w:t>
      </w:r>
    </w:p>
    <w:p>
      <w:pPr/>
      <w:r>
        <w:rPr>
          <w:rStyle w:val="font_h1"/>
        </w:rPr>
        <w:t xml:space="preserve">10. Récapitulatif des contrôles</w:t>
      </w:r>
    </w:p>
    <w:p>
      <w:pPr>
        <w:ind w:left="720" w:right="0"/>
      </w:pPr>
      <w:r>
        <w:rPr>
          <w:rStyle w:val="font_h2"/>
        </w:rPr>
        <w:t xml:space="preserve">10.1. Fiches de contrôles</w:t>
      </w:r>
    </w:p>
    <w:p>
      <w:pPr/>
      <w:r>
        <w:rPr>
          <w:rStyle w:val="font_h1"/>
        </w:rPr>
        <w:t xml:space="preserve">11. Matériaux et ouvrages rapportés</w:t>
      </w:r>
    </w:p>
    <w:p>
      <w:pPr>
        <w:ind w:left="720" w:right="0"/>
      </w:pPr>
      <w:r>
        <w:rPr>
          <w:rStyle w:val="font_h2"/>
        </w:rPr>
        <w:t xml:space="preserve">11.1. Principes généraux de conception</w:t>
      </w:r>
    </w:p>
    <w:p>
      <w:pPr>
        <w:ind w:left="720" w:right="0"/>
      </w:pPr>
      <w:r>
        <w:rPr>
          <w:rStyle w:val="font_h2"/>
        </w:rPr>
        <w:t xml:space="preserve">11.2. Revêtements et matériaux adhérents</w:t>
      </w:r>
    </w:p>
    <w:p>
      <w:pPr>
        <w:ind w:left="720" w:right="0"/>
      </w:pPr>
      <w:r>
        <w:rPr>
          <w:rStyle w:val="font_h2"/>
        </w:rPr>
        <w:t xml:space="preserve">11.3. Cas des parois en locaux chauffés</w:t>
      </w:r>
    </w:p>
    <w:p>
      <w:pPr/>
      <w:r>
        <w:rPr>
          <w:rStyle w:val="font_h1"/>
        </w:rPr>
        <w:t xml:space="preserve">12. Conditions de service</w:t>
      </w:r>
    </w:p>
    <w:p>
      <w:pPr>
        <w:ind w:left="720" w:right="0"/>
      </w:pPr>
      <w:r>
        <w:rPr>
          <w:rStyle w:val="font_h2"/>
        </w:rPr>
        <w:t xml:space="preserve">12.1. Réparation après avoir déposé la protection adhérente (si existante)</w:t>
      </w:r>
    </w:p>
    <w:p>
      <w:pPr>
        <w:ind w:left="720" w:right="0"/>
      </w:pPr>
      <w:r>
        <w:rPr>
          <w:rStyle w:val="font_h2"/>
        </w:rPr>
        <w:t xml:space="preserve">12.2. Entretien et recommandations</w:t>
      </w:r>
    </w:p>
    <w:p>
      <w:pPr/>
      <w:r>
        <w:rPr>
          <w:rStyle w:val="font_h1"/>
        </w:rPr>
        <w:t xml:space="preserve">13. Organisation de la mise en œuvre</w:t>
      </w:r>
    </w:p>
    <w:p>
      <w:pPr/>
      <w:r>
        <w:rPr>
          <w:rStyle w:val="font_h1"/>
        </w:rPr>
        <w:t xml:space="preserve">14. Matériaux</w:t>
      </w:r>
    </w:p>
    <w:p>
      <w:pPr/>
      <w:r>
        <w:rPr>
          <w:rStyle w:val="font_h1"/>
        </w:rPr>
        <w:t xml:space="preserve">15. Produits de réparation</w:t>
      </w:r>
    </w:p>
    <w:p>
      <w:pPr/>
      <w:r>
        <w:rPr>
          <w:rStyle w:val="font_h1"/>
        </w:rPr>
        <w:t xml:space="preserve">16.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8801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2026-03-03T06:54:18+01:00</dcterms:created>
  <dcterms:modified xsi:type="dcterms:W3CDTF">2026-03-03T06:54:18+01:00</dcterms:modified>
</cp:coreProperties>
</file>

<file path=docProps/custom.xml><?xml version="1.0" encoding="utf-8"?>
<Properties xmlns="http://schemas.openxmlformats.org/officeDocument/2006/custom-properties" xmlns:vt="http://schemas.openxmlformats.org/officeDocument/2006/docPropsVTypes"/>
</file>