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14.5 - Édité le 05/03/2026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14.5 « Equipements / Ventilation et systèmes par vecteur air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ventilation modulée sur l’humidité relative et sur le CO2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>
        <w:ind w:left="720" w:right="0"/>
      </w:pPr>
      <w:r>
        <w:rPr>
          <w:rStyle w:val="font_h2"/>
        </w:rPr>
        <w:t xml:space="preserve">2.2. Définition du domaine d'emploi revendiqué</w:t>
      </w:r>
    </w:p>
    <w:p>
      <w:pPr/>
      <w:r>
        <w:rPr>
          <w:rStyle w:val="font_h1"/>
        </w:rPr>
        <w:t xml:space="preserve">3. Description des composants</w:t>
      </w:r>
    </w:p>
    <w:p>
      <w:pPr>
        <w:ind w:left="720" w:right="0"/>
      </w:pPr>
      <w:r>
        <w:rPr>
          <w:rStyle w:val="font_h2"/>
        </w:rPr>
        <w:t xml:space="preserve">3.1. Généralités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composants constituants le système et indiquer leurs caractéristiques.</w:t>
      </w:r>
    </w:p>
    <w:p>
      <w:pPr/>
      <w:r>
        <w:rPr/>
        <w:t xml:space="preserve">Pour tout capteur C02 intégré au système (déporté dans l’ambiance ou incorporé dans un composant) :</w:t>
      </w:r>
    </w:p>
    <w:p>
      <w:pPr>
        <w:pPr/>
        <w:numPr>
          <w:ilvl w:val="0"/>
          <w:numId w:val="9"/>
        </w:numPr>
      </w:pPr>
      <w:r>
        <w:rPr/>
        <w:t xml:space="preserve">décrire en détails la technologie utilisée par le capteur ainsi que, le cas échéant, la régulation associée, les options éventuelles, etc ;</w:t>
      </w:r>
    </w:p>
    <w:p>
      <w:pPr>
        <w:pPr/>
        <w:numPr>
          <w:ilvl w:val="0"/>
          <w:numId w:val="9"/>
        </w:numPr>
      </w:pPr>
      <w:r>
        <w:rPr/>
        <w:t xml:space="preserve">définir et documenter les caractéristiques suivantes du capteur qui doivent être en cohérence avec l’utilisation projetée : précision, dérive, durée de vie.</w:t>
      </w:r>
    </w:p>
    <w:p>
      <w:pPr>
        <w:ind w:left="720" w:right="0"/>
      </w:pPr>
      <w:r>
        <w:rPr>
          <w:rStyle w:val="font_h2"/>
        </w:rPr>
        <w:t xml:space="preserve">3.2. Justifications complémentaires</w:t>
      </w:r>
    </w:p>
    <w:p>
      <w:pPr>
        <w:ind w:left="1440" w:right="0"/>
      </w:pPr>
      <w:r>
        <w:rPr>
          <w:rStyle w:val="font_h3"/>
        </w:rPr>
        <w:t xml:space="preserve">3.2.1. Marquage CE</w:t>
      </w:r>
    </w:p>
    <w:p>
      <w:pPr>
        <w:ind w:left="1440" w:right="0"/>
      </w:pPr>
      <w:r>
        <w:rPr>
          <w:rStyle w:val="font_h3"/>
        </w:rPr>
        <w:t xml:space="preserve">3.2.2. Sécurité en cas d'incendie</w:t>
      </w:r>
    </w:p>
    <w:p>
      <w:pPr>
        <w:ind w:left="1440" w:right="0"/>
      </w:pPr>
      <w:r>
        <w:rPr>
          <w:rStyle w:val="font_h3"/>
        </w:rPr>
        <w:t xml:space="preserve">3.2.3. Groupe d'extraction pour maison individuelle</w:t>
      </w:r>
    </w:p>
    <w:p>
      <w:pPr>
        <w:ind w:left="1440" w:right="0"/>
      </w:pPr>
      <w:r>
        <w:rPr>
          <w:rStyle w:val="font_h3"/>
        </w:rPr>
        <w:t xml:space="preserve">3.2.4. Chauffe-eau thermodynamique sur air extrait</w:t>
      </w:r>
    </w:p>
    <w:p>
      <w:pPr>
        <w:ind w:left="1440" w:right="0"/>
      </w:pPr>
      <w:r>
        <w:rPr>
          <w:rStyle w:val="font_h3"/>
        </w:rPr>
        <w:t xml:space="preserve">3.2.5. Données environnementales</w:t>
      </w:r>
    </w:p>
    <w:p>
      <w:pPr>
        <w:ind w:left="1440" w:right="0"/>
      </w:pPr>
      <w:r>
        <w:rPr>
          <w:rStyle w:val="font_h3"/>
        </w:rPr>
        <w:t xml:space="preserve">3.2.6. Références chantiers</w:t>
      </w:r>
    </w:p>
    <w:p>
      <w:pPr>
        <w:ind w:left="1440" w:right="0"/>
      </w:pPr>
      <w:r>
        <w:rPr>
          <w:rStyle w:val="font_h3"/>
        </w:rPr>
        <w:t xml:space="preserve">3.2.7. Autres</w:t>
      </w:r>
    </w:p>
    <w:p>
      <w:pPr>
        <w:ind w:left="720" w:right="0"/>
      </w:pPr>
      <w:r>
        <w:rPr>
          <w:rStyle w:val="font_h2"/>
        </w:rPr>
        <w:t xml:space="preserve">3.3. Dispositions complémentaires établies en 2018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Configurations des systèmes, conception et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Qualité d'air intérieur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caractéristiques du système afin de justifier la QAI.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des calculs pour justifier de la QAI, qui doivent tenir compte des caractéristiques des capteurs CO2 (incertitudes, dérive dans le temps).</w:t>
      </w:r>
    </w:p>
    <w:p>
      <w:pPr>
        <w:ind w:left="720" w:right="0"/>
      </w:pPr>
      <w:r>
        <w:rPr>
          <w:rStyle w:val="font_h2"/>
        </w:rPr>
        <w:t xml:space="preserve">5.3. Données d'entrée des calculs thermiques réglementaires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données d'entrée du calcul règlementaire thermique.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des calculs pour déterminer les données d'entrée du calcul règlementaire thermique, qui doivent tenir compte des caractéristiques des capteurs CO2 (incertitudes, dérive dans le temps).</w:t>
      </w:r>
    </w:p>
    <w:p>
      <w:pPr/>
      <w:r>
        <w:rPr>
          <w:rStyle w:val="font_h1"/>
        </w:rPr>
        <w:t xml:space="preserve">6. Mise en oeuvre</w:t>
      </w:r>
    </w:p>
    <w:p>
      <w:pPr/>
      <w:r>
        <w:rPr>
          <w:rStyle w:val="font_h1"/>
        </w:rPr>
        <w:t xml:space="preserve">7. Entretien des systèmes</w:t>
      </w:r>
    </w:p>
    <w:p>
      <w:pPr/>
      <w:r>
        <w:rPr>
          <w:rStyle w:val="font_h1"/>
        </w:rPr>
        <w:t xml:space="preserve">8. Réception des installations</w:t>
      </w:r>
    </w:p>
    <w:p>
      <w:pPr/>
      <w:r>
        <w:rPr>
          <w:rStyle w:val="font_h1"/>
        </w:rPr>
        <w:t xml:space="preserve">9. Exploitation commerciale et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6F26A8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2026-03-05T03:31:25+01:00</dcterms:created>
  <dcterms:modified xsi:type="dcterms:W3CDTF">2026-03-05T03:31:25+01:00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