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coulé à liants spéciaux fini in-situ</w:t>
      </w:r>
    </w:p>
    <w:p>
      <w:pPr/>
      <w:r>
        <w:rPr>
          <w:rStyle w:val="font_h1"/>
        </w:rPr>
        <w:t xml:space="preserve">1. Destination</w:t>
      </w:r>
    </w:p>
    <w:p>
      <w:pPr/>
      <w:r>
        <w:rPr>
          <w:rStyle w:val="font_h1"/>
        </w:rPr>
        <w:t xml:space="preserve">2. Définition qualitative et quantitative</w:t>
      </w:r>
    </w:p>
    <w:p>
      <w:pPr>
        <w:ind w:left="720" w:right="0"/>
      </w:pPr>
      <w:r>
        <w:rPr>
          <w:rStyle w:val="font_h2"/>
        </w:rPr>
        <w:t xml:space="preserve">2.1. Type</w:t>
      </w:r>
    </w:p>
    <w:p>
      <w:pPr>
        <w:ind w:left="720" w:right="0"/>
      </w:pPr>
      <w:r>
        <w:rPr>
          <w:rStyle w:val="font_h2"/>
        </w:rPr>
        <w:t xml:space="preserve">2.2. Caractéristiques spécifiées par le fabricant</w:t>
      </w:r>
    </w:p>
    <w:p>
      <w:pPr/>
      <w:r>
        <w:rPr/>
        <w:t xml:space="preserve">Validé par le Groupe Spécialisé le 16/06/2022</w:t>
      </w:r>
    </w:p>
    <w:p>
      <w:pPr/>
      <w:r>
        <w:rPr>
          <w:b/>
          <w:bCs/>
        </w:rPr>
        <w:t xml:space="preserve">Description</w:t>
      </w:r>
    </w:p>
    <w:p>
      <w:pPr/>
      <w:r>
        <w:rPr/>
        <w:t xml:space="preserve">Dans le cas de l'utilisation d'un bouche-pore, les résultats d’adhérence présentés en vue de justifier l’emploi sur support humide ou exposé aux reprises ou remontées d’humidité doivent préciser si le bouche-pore a été appliqué ou non lors de l'essai.</w:t>
      </w:r>
    </w:p>
    <w:p>
      <w:pPr/>
      <w:r>
        <w:rPr>
          <w:rStyle w:val="font_h1"/>
        </w:rPr>
        <w:t xml:space="preserve">3. Présentation – Etiquetage</w:t>
      </w:r>
    </w:p>
    <w:p>
      <w:pPr>
        <w:ind w:left="720" w:right="0"/>
      </w:pPr>
      <w:r>
        <w:rPr>
          <w:rStyle w:val="font_h2"/>
        </w:rPr>
        <w:t xml:space="preserve">3.1. Aspect</w:t>
      </w:r>
    </w:p>
    <w:p>
      <w:pPr>
        <w:ind w:left="720" w:right="0"/>
      </w:pPr>
      <w:r>
        <w:rPr>
          <w:rStyle w:val="font_h2"/>
        </w:rPr>
        <w:t xml:space="preserve">3.2. Coloris et Décors</w:t>
      </w:r>
    </w:p>
    <w:p>
      <w:pPr>
        <w:ind w:left="720" w:right="0"/>
      </w:pPr>
      <w:r>
        <w:rPr>
          <w:rStyle w:val="font_h2"/>
        </w:rPr>
        <w:t xml:space="preserve">3.3. Conditionnements</w:t>
      </w:r>
    </w:p>
    <w:p>
      <w:pPr/>
      <w:r>
        <w:rPr>
          <w:rStyle w:val="font_h1"/>
        </w:rPr>
        <w:t xml:space="preserve">4. Produits et matériaux</w:t>
      </w:r>
    </w:p>
    <w:p>
      <w:pPr/>
      <w:r>
        <w:rPr>
          <w:rStyle w:val="font_h1"/>
        </w:rPr>
        <w:t xml:space="preserve">5. Fabrication, contrôles et application</w:t>
      </w:r>
    </w:p>
    <w:p>
      <w:pPr>
        <w:ind w:left="720" w:right="0"/>
      </w:pPr>
      <w:r>
        <w:rPr>
          <w:rStyle w:val="font_h2"/>
        </w:rPr>
        <w:t xml:space="preserve">5.1. Fabrication des produits</w:t>
      </w:r>
    </w:p>
    <w:p>
      <w:pPr>
        <w:ind w:left="720" w:right="0"/>
      </w:pPr>
      <w:r>
        <w:rPr>
          <w:rStyle w:val="font_h2"/>
        </w:rPr>
        <w:t xml:space="preserve">5.2. Contrôle des produits</w:t>
      </w:r>
    </w:p>
    <w:p>
      <w:pPr>
        <w:ind w:left="720" w:right="0"/>
      </w:pPr>
      <w:r>
        <w:rPr>
          <w:rStyle w:val="font_h2"/>
        </w:rPr>
        <w:t xml:space="preserve">5.3. Application et assistance technique</w:t>
      </w:r>
    </w:p>
    <w:p>
      <w:pPr/>
      <w:r>
        <w:rPr>
          <w:rStyle w:val="font_h1"/>
        </w:rPr>
        <w:t xml:space="preserve">6. Mise en œuvre</w:t>
      </w:r>
    </w:p>
    <w:p>
      <w:pPr>
        <w:ind w:left="720" w:right="0"/>
      </w:pPr>
      <w:r>
        <w:rPr>
          <w:rStyle w:val="font_h2"/>
        </w:rPr>
        <w:t xml:space="preserve">6.1. Supports et préparation des supports</w:t>
      </w:r>
    </w:p>
    <w:p>
      <w:pPr/>
      <w:r>
        <w:rPr/>
        <w:t xml:space="preserve">Validé par le Groupe Spécialisé le 08/07/2022</w:t>
      </w:r>
    </w:p>
    <w:p>
      <w:pPr/>
      <w:r>
        <w:rPr>
          <w:b/>
          <w:bCs/>
        </w:rPr>
        <w:t xml:space="preserve">Description</w:t>
      </w:r>
    </w:p>
    <w:p>
      <w:pPr/>
      <w:r>
        <w:rPr/>
        <w:t xml:space="preserve">Lorsque la planéité du support requise pour la mise en œuvre du système est de 3 mm sous la règle de 2 m, il faudra décrire la façon pour l'entreprise d'obtenir cette planéité.</w:t>
      </w:r>
    </w:p>
    <w:p>
      <w:pPr/>
      <w:r>
        <w:rPr>
          <w:b/>
          <w:bCs/>
        </w:rPr>
        <w:t xml:space="preserve">Justification</w:t>
      </w:r>
    </w:p>
    <w:p>
      <w:pPr/>
      <w:r>
        <w:rPr/>
        <w:t xml:space="preserve">Le cahier des charges de mise en œuvre.</w:t>
      </w:r>
    </w:p>
    <w:p>
      <w:pPr/>
      <w:r>
        <w:rPr>
          <w:b/>
          <w:bCs/>
        </w:rPr>
        <w:t xml:space="preserve">Critères d'évaluation</w:t>
      </w:r>
    </w:p>
    <w:p>
      <w:pPr/>
      <w:r>
        <w:rPr/>
        <w:t xml:space="preserve">Aptitude de la solution proposée à permettre d'atteindre la planéité de 3mm sous la règle des 2m.</w:t>
      </w:r>
    </w:p>
    <w:p>
      <w:pPr>
        <w:ind w:left="720" w:right="0"/>
      </w:pPr>
      <w:r>
        <w:rPr>
          <w:rStyle w:val="font_h2"/>
        </w:rPr>
        <w:t xml:space="preserve">6.2. Produits utilisés</w:t>
      </w:r>
    </w:p>
    <w:p>
      <w:pPr>
        <w:ind w:left="720" w:right="0"/>
      </w:pPr>
      <w:r>
        <w:rPr>
          <w:rStyle w:val="font_h2"/>
        </w:rPr>
        <w:t xml:space="preserve">6.3. Stockage et conditions de pose</w:t>
      </w:r>
    </w:p>
    <w:p>
      <w:pPr>
        <w:ind w:left="720" w:right="0"/>
      </w:pPr>
      <w:r>
        <w:rPr>
          <w:rStyle w:val="font_h2"/>
        </w:rPr>
        <w:t xml:space="preserve">6.4. Fractionnement du revêtement</w:t>
      </w:r>
    </w:p>
    <w:p>
      <w:pPr>
        <w:ind w:left="720" w:right="0"/>
      </w:pPr>
      <w:r>
        <w:rPr>
          <w:rStyle w:val="font_h2"/>
        </w:rPr>
        <w:t xml:space="preserve">6.5. Application</w:t>
      </w:r>
    </w:p>
    <w:p>
      <w:pPr>
        <w:ind w:left="720" w:right="0"/>
      </w:pPr>
      <w:r>
        <w:rPr>
          <w:rStyle w:val="font_h2"/>
        </w:rPr>
        <w:t xml:space="preserve">6.6. Contrôles d’exécution</w:t>
      </w:r>
    </w:p>
    <w:p>
      <w:pPr>
        <w:ind w:left="720" w:right="0"/>
      </w:pPr>
      <w:r>
        <w:rPr>
          <w:rStyle w:val="font_h2"/>
        </w:rPr>
        <w:t xml:space="preserve">6.7. Traitement des joints</w:t>
      </w:r>
    </w:p>
    <w:p>
      <w:pPr>
        <w:ind w:left="720" w:right="0"/>
      </w:pPr>
      <w:r>
        <w:rPr>
          <w:rStyle w:val="font_h2"/>
        </w:rPr>
        <w:t xml:space="preserve">6.8. Traitement des rives</w:t>
      </w:r>
    </w:p>
    <w:p>
      <w:pPr>
        <w:ind w:left="720" w:right="0"/>
      </w:pPr>
      <w:r>
        <w:rPr>
          <w:rStyle w:val="font_h2"/>
        </w:rPr>
        <w:t xml:space="preserve">6.9. Escaliers</w:t>
      </w:r>
    </w:p>
    <w:p>
      <w:pPr/>
      <w:r>
        <w:rPr>
          <w:rStyle w:val="font_h1"/>
        </w:rPr>
        <w:t xml:space="preserve">7. Réception – Mise en service</w:t>
      </w:r>
    </w:p>
    <w:p>
      <w:pPr/>
      <w:r>
        <w:rPr>
          <w:rStyle w:val="font_h1"/>
        </w:rPr>
        <w:t xml:space="preserve">8. Entretien – Utilisations</w:t>
      </w:r>
    </w:p>
    <w:p>
      <w:pPr>
        <w:ind w:left="720" w:right="0"/>
      </w:pPr>
      <w:r>
        <w:rPr>
          <w:rStyle w:val="font_h2"/>
        </w:rPr>
        <w:t xml:space="preserve">8.1. Mesures préventives</w:t>
      </w:r>
    </w:p>
    <w:p>
      <w:pPr>
        <w:ind w:left="720" w:right="0"/>
      </w:pPr>
      <w:r>
        <w:rPr>
          <w:rStyle w:val="font_h2"/>
        </w:rPr>
        <w:t xml:space="preserve">8.2. Recommandations de nettoyage et d’entretien des sols traités</w:t>
      </w:r>
    </w:p>
    <w:p>
      <w:pPr>
        <w:ind w:left="720" w:right="0"/>
      </w:pPr>
      <w:r>
        <w:rPr>
          <w:rStyle w:val="font_h2"/>
        </w:rPr>
        <w:t xml:space="preserve">8.3. Réfection</w:t>
      </w:r>
    </w:p>
    <w:p>
      <w:pPr/>
      <w:r>
        <w:rPr>
          <w:rStyle w:val="font_h1"/>
        </w:rPr>
        <w:t xml:space="preserve">9. Réparation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D32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2025-12-07T22:19:36+01:00</dcterms:created>
  <dcterms:modified xsi:type="dcterms:W3CDTF">2025-12-07T22:19:36+01:00</dcterms:modified>
</cp:coreProperties>
</file>

<file path=docProps/custom.xml><?xml version="1.0" encoding="utf-8"?>
<Properties xmlns="http://schemas.openxmlformats.org/officeDocument/2006/custom-properties" xmlns:vt="http://schemas.openxmlformats.org/officeDocument/2006/docPropsVTypes"/>
</file>