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panneaux isolants sous vide</w:t>
      </w:r>
    </w:p>
    <w:p>
      <w:pPr/>
      <w:r>
        <w:rPr>
          <w:rStyle w:val="font_h1"/>
        </w:rPr>
        <w:t xml:space="preserve">1. Généralités</w:t>
      </w:r>
    </w:p>
    <w:p>
      <w:pPr>
        <w:ind w:left="720" w:right="0"/>
      </w:pPr>
      <w:r>
        <w:rPr>
          <w:rStyle w:val="font_h2"/>
        </w:rPr>
        <w:t xml:space="preserve">1.1. Description succincte</w:t>
      </w:r>
    </w:p>
    <w:p>
      <w:pPr>
        <w:ind w:left="720" w:right="0"/>
      </w:pPr>
      <w:r>
        <w:rPr>
          <w:rStyle w:val="font_h2"/>
        </w:rPr>
        <w:t xml:space="preserve">1.2. Domaine d’application</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Isolant sous vide</w:t>
      </w:r>
    </w:p>
    <w:p>
      <w:pPr>
        <w:ind w:left="1440" w:right="0"/>
      </w:pPr>
      <w:r>
        <w:rPr>
          <w:rStyle w:val="font_h3"/>
        </w:rPr>
        <w:t xml:space="preserve">2.1.2. Autres isolants</w:t>
      </w:r>
    </w:p>
    <w:p>
      <w:pPr>
        <w:ind w:left="720" w:right="0"/>
      </w:pPr>
      <w:r>
        <w:rPr>
          <w:rStyle w:val="font_h2"/>
        </w:rPr>
        <w:t xml:space="preserve">2.2. Membranes d’étanchéité à l’air et à la vapeur d'eau</w:t>
      </w:r>
    </w:p>
    <w:p>
      <w:pPr>
        <w:ind w:left="720" w:right="0"/>
      </w:pPr>
      <w:r>
        <w:rPr>
          <w:rStyle w:val="font_h2"/>
        </w:rPr>
        <w:t xml:space="preserve">2.3. Accessoires de pose des membranes et de l’isolant</w:t>
      </w:r>
    </w:p>
    <w:p>
      <w:pPr>
        <w:ind w:left="720" w:right="0"/>
      </w:pPr>
      <w:r>
        <w:rPr>
          <w:rStyle w:val="font_h2"/>
        </w:rPr>
        <w:t xml:space="preserve">2.4. Accessoires du système</w:t>
      </w:r>
    </w:p>
    <w:p>
      <w:pPr>
        <w:ind w:left="720" w:right="0"/>
      </w:pPr>
      <w:r>
        <w:rPr>
          <w:rStyle w:val="font_h2"/>
        </w:rPr>
        <w:t xml:space="preserve">2.5. Produits de parement intérieur</w:t>
      </w:r>
    </w:p>
    <w:p>
      <w:pPr>
        <w:ind w:left="720" w:right="0"/>
      </w:pPr>
      <w:r>
        <w:rPr>
          <w:rStyle w:val="font_h2"/>
        </w:rPr>
        <w:t xml:space="preserve">2.6. Produits de traitement des joints</w:t>
      </w:r>
    </w:p>
    <w:p>
      <w:pPr>
        <w:ind w:left="720" w:right="0"/>
      </w:pPr>
      <w:r>
        <w:rPr>
          <w:rStyle w:val="font_h2"/>
        </w:rPr>
        <w:t xml:space="preserve">2.7.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3. Fabrication, contrôle et marquage</w:t>
      </w:r>
    </w:p>
    <w:p>
      <w:pPr>
        <w:ind w:left="720" w:right="0"/>
      </w:pPr>
      <w:r>
        <w:rPr>
          <w:rStyle w:val="font_h2"/>
        </w:rPr>
        <w:t xml:space="preserve">3.1. Isolant sous vide</w:t>
      </w:r>
    </w:p>
    <w:p>
      <w:pPr>
        <w:ind w:left="1440" w:right="0"/>
      </w:pPr>
      <w:r>
        <w:rPr>
          <w:rStyle w:val="font_h3"/>
        </w:rPr>
        <w:t xml:space="preserve">3.1.1. Fabrication</w:t>
      </w:r>
    </w:p>
    <w:p>
      <w:pPr>
        <w:ind w:left="1440" w:right="0"/>
      </w:pPr>
      <w:r>
        <w:rPr>
          <w:rStyle w:val="font_h3"/>
        </w:rPr>
        <w:t xml:space="preserve">3.1.2. Contrôles</w:t>
      </w:r>
    </w:p>
    <w:p>
      <w:pPr>
        <w:ind w:left="1440" w:right="0"/>
      </w:pPr>
      <w:r>
        <w:rPr>
          <w:rStyle w:val="font_h3"/>
        </w:rPr>
        <w:t xml:space="preserve">3.1.3. Marquage</w:t>
      </w:r>
    </w:p>
    <w:p>
      <w:pPr>
        <w:ind w:left="720" w:right="0"/>
      </w:pPr>
      <w:r>
        <w:rPr>
          <w:rStyle w:val="font_h2"/>
        </w:rPr>
        <w:t xml:space="preserve">3.2. Accessoires</w:t>
      </w:r>
    </w:p>
    <w:p>
      <w:pPr/>
      <w:r>
        <w:rPr>
          <w:rStyle w:val="font_h1"/>
        </w:rPr>
        <w:t xml:space="preserve">4. Conditionnement et stockage</w:t>
      </w:r>
    </w:p>
    <w:p>
      <w:pPr>
        <w:ind w:left="720" w:right="0"/>
      </w:pPr>
      <w:r>
        <w:rPr>
          <w:rStyle w:val="font_h2"/>
        </w:rPr>
        <w:t xml:space="preserve">4.1. Conditionnement</w:t>
      </w:r>
    </w:p>
    <w:p>
      <w:pPr>
        <w:ind w:left="720" w:right="0"/>
      </w:pPr>
      <w:r>
        <w:rPr>
          <w:rStyle w:val="font_h2"/>
        </w:rPr>
        <w:t xml:space="preserve">4.2. Stockage et transport</w:t>
      </w:r>
    </w:p>
    <w:p>
      <w:pPr>
        <w:ind w:left="720" w:right="0"/>
      </w:pPr>
      <w:r>
        <w:rPr>
          <w:rStyle w:val="font_h2"/>
        </w:rPr>
        <w:t xml:space="preserve">4.3. Contrôle à la livraison</w:t>
      </w:r>
    </w:p>
    <w:p>
      <w:pPr>
        <w:ind w:left="720" w:right="0"/>
      </w:pPr>
      <w:r>
        <w:rPr>
          <w:rStyle w:val="font_h2"/>
        </w:rPr>
        <w:t xml:space="preserve">4.4. Inspection visuelle préalable et vérification de la surface des panneaux avant installation</w:t>
      </w:r>
    </w:p>
    <w:p>
      <w:pPr/>
      <w:r>
        <w:rPr>
          <w:rStyle w:val="font_h1"/>
        </w:rPr>
        <w:t xml:space="preserve">5. Commercialisation et distribution</w:t>
      </w:r>
    </w:p>
    <w:p>
      <w:pPr>
        <w:ind w:left="720" w:right="0"/>
      </w:pPr>
      <w:r>
        <w:rPr>
          <w:rStyle w:val="font_h2"/>
        </w:rPr>
        <w:t xml:space="preserve">5.1.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6. Assistance technique et formation</w:t>
      </w:r>
    </w:p>
    <w:p>
      <w:pPr/>
      <w:r>
        <w:rPr>
          <w:rStyle w:val="font_h1"/>
        </w:rPr>
        <w:t xml:space="preserve">7. Opérations préalables à la mise en œuvre</w:t>
      </w:r>
    </w:p>
    <w:p>
      <w:pPr>
        <w:ind w:left="720" w:right="0"/>
      </w:pPr>
      <w:r>
        <w:rPr>
          <w:rStyle w:val="font_h2"/>
        </w:rPr>
        <w:t xml:space="preserve">7.1. Conception et calepinage</w:t>
      </w:r>
    </w:p>
    <w:p>
      <w:pPr>
        <w:ind w:left="720" w:right="0"/>
      </w:pPr>
      <w:r>
        <w:rPr>
          <w:rStyle w:val="font_h2"/>
        </w:rPr>
        <w:t xml:space="preserve">7.2. Information sur l’isolation des parois à l’aide des panneaux isolants sous vide</w:t>
      </w:r>
    </w:p>
    <w:p>
      <w:pPr>
        <w:ind w:left="720" w:right="0"/>
      </w:pPr>
      <w:r>
        <w:rPr>
          <w:rStyle w:val="font_h2"/>
        </w:rPr>
        <w:t xml:space="preserve">7.3. Préparation du chantier et reconnaissance du support</w:t>
      </w:r>
    </w:p>
    <w:p>
      <w:pPr>
        <w:ind w:left="1440" w:right="0"/>
      </w:pPr>
      <w:r>
        <w:rPr>
          <w:rStyle w:val="font_h3"/>
        </w:rPr>
        <w:t xml:space="preserve">7.3.1. Reconnaissance du support et conditions de mise en œuvre</w:t>
      </w:r>
    </w:p>
    <w:p>
      <w:pPr>
        <w:ind w:left="1440" w:right="0"/>
      </w:pPr>
      <w:r>
        <w:rPr>
          <w:rStyle w:val="font_h3"/>
        </w:rPr>
        <w:t xml:space="preserve">7.3.2. Précautions relatives aux panneaux sous vide et conditions de mise en œuvre</w:t>
      </w:r>
    </w:p>
    <w:p>
      <w:pPr>
        <w:ind w:left="1440" w:right="0"/>
      </w:pPr>
      <w:r>
        <w:rPr>
          <w:rStyle w:val="font_h3"/>
        </w:rPr>
        <w:t xml:space="preserve">7.3.3. Parois supports</w:t>
      </w:r>
    </w:p>
    <w:p>
      <w:pPr>
        <w:ind w:left="1440" w:right="0"/>
      </w:pPr>
      <w:r>
        <w:rPr>
          <w:rStyle w:val="font_h3"/>
        </w:rPr>
        <w:t xml:space="preserve">7.3.4. Canalisation électriques / cheminées</w:t>
      </w:r>
    </w:p>
    <w:p>
      <w:pPr>
        <w:ind w:left="1440" w:right="0"/>
      </w:pPr>
      <w:r>
        <w:rPr>
          <w:rStyle w:val="font_h3"/>
        </w:rPr>
        <w:t xml:space="preserve">7.3.5. Vérification des panneaux au déballage</w:t>
      </w:r>
    </w:p>
    <w:p>
      <w:pPr>
        <w:ind w:left="1440" w:right="0"/>
      </w:pPr>
      <w:r>
        <w:rPr>
          <w:rStyle w:val="font_h3"/>
        </w:rPr>
        <w:t xml:space="preserve">7.3.6. Autres conditions</w:t>
      </w:r>
    </w:p>
    <w:p>
      <w:pPr>
        <w:ind w:left="720" w:right="0"/>
      </w:pPr>
      <w:r>
        <w:rPr>
          <w:rStyle w:val="font_h2"/>
        </w:rPr>
        <w:t xml:space="preserve">7.4. Pare-vapeur</w:t>
      </w:r>
    </w:p>
    <w:p>
      <w:pPr>
        <w:ind w:left="1440" w:right="0"/>
      </w:pPr>
      <w:r>
        <w:rPr>
          <w:rStyle w:val="font_h3"/>
        </w:rPr>
        <w:t xml:space="preserve">7.4.1. Cas d’une construction à ossature bois COB</w:t>
      </w:r>
    </w:p>
    <w:p>
      <w:pPr>
        <w:ind w:left="1440" w:right="0"/>
      </w:pPr>
      <w:r>
        <w:rPr>
          <w:rStyle w:val="font_h3"/>
        </w:rPr>
        <w:t xml:space="preserve">7.4.2. Cas d’un mur maçonné ou en béton</w:t>
      </w:r>
    </w:p>
    <w:p>
      <w:pPr>
        <w:ind w:left="1440" w:right="0"/>
      </w:pPr>
      <w:r>
        <w:rPr>
          <w:rStyle w:val="font_h3"/>
        </w:rPr>
        <w:t xml:space="preserve">7.4.3. Cas de zone très froide ou climat de montagne</w:t>
      </w:r>
    </w:p>
    <w:p>
      <w:pPr>
        <w:ind w:left="720" w:right="0"/>
      </w:pPr>
      <w:r>
        <w:rPr>
          <w:rStyle w:val="font_h2"/>
        </w:rPr>
        <w:t xml:space="preserve">7.5. Acceptabilité du chantier avant mise en œuvre</w:t>
      </w:r>
    </w:p>
    <w:p>
      <w:pPr/>
      <w:r>
        <w:rPr>
          <w:rStyle w:val="font_h1"/>
        </w:rPr>
        <w:t xml:space="preserve">8. Mise en œuvre</w:t>
      </w:r>
    </w:p>
    <w:p>
      <w:pPr>
        <w:ind w:left="720" w:right="0"/>
      </w:pPr>
      <w:r>
        <w:rPr>
          <w:rStyle w:val="font_h2"/>
        </w:rPr>
        <w:t xml:space="preserve">8.1. Mise en œuvre du système VIP sur les parois</w:t>
      </w:r>
    </w:p>
    <w:p>
      <w:pPr>
        <w:ind w:left="720" w:right="0"/>
      </w:pPr>
      <w:r>
        <w:rPr>
          <w:rStyle w:val="font_h2"/>
        </w:rPr>
        <w:t xml:space="preserve">8.2. Mise en œuvre de l’isolant sous vide et de la laine de verre</w:t>
      </w:r>
    </w:p>
    <w:p>
      <w:pPr>
        <w:ind w:left="1440" w:right="0"/>
      </w:pPr>
      <w:r>
        <w:rPr>
          <w:rStyle w:val="font_h3"/>
        </w:rPr>
        <w:t xml:space="preserve">8.2.1. Vérification de la disposition des panneaux sur les parois</w:t>
      </w:r>
    </w:p>
    <w:p>
      <w:pPr>
        <w:ind w:left="1440" w:right="0"/>
      </w:pPr>
      <w:r>
        <w:rPr>
          <w:rStyle w:val="font_h3"/>
        </w:rPr>
        <w:t xml:space="preserve">8.2.2. Pose de l’isolant sous vide et de la laine de verre</w:t>
      </w:r>
    </w:p>
    <w:p>
      <w:pPr>
        <w:ind w:left="720" w:right="0"/>
      </w:pPr>
      <w:r>
        <w:rPr>
          <w:rStyle w:val="font_h2"/>
        </w:rPr>
        <w:t xml:space="preserve">8.3. Pose de la membrane hygro-régulante ou pare-vapeur</w:t>
      </w:r>
    </w:p>
    <w:p>
      <w:pPr>
        <w:ind w:left="720" w:right="0"/>
      </w:pPr>
      <w:r>
        <w:rPr>
          <w:rStyle w:val="font_h2"/>
        </w:rPr>
        <w:t xml:space="preserve">8.4. Pose des fourrures et du parement de finition de la paroi isolée</w:t>
      </w:r>
    </w:p>
    <w:p>
      <w:pPr/>
      <w:r>
        <w:rPr>
          <w:rStyle w:val="font_h1"/>
        </w:rPr>
        <w:t xml:space="preserve">9. Fixation d’objets</w:t>
      </w:r>
    </w:p>
    <w:p>
      <w:pPr/>
      <w:r>
        <w:rPr>
          <w:rStyle w:val="font_h1"/>
        </w:rPr>
        <w:t xml:space="preserve">10. Sécurité des travailleurs</w:t>
      </w:r>
    </w:p>
    <w:p>
      <w:pPr/>
      <w:r>
        <w:rPr>
          <w:rStyle w:val="font_h1"/>
        </w:rPr>
        <w:t xml:space="preserve">11.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2025-12-17T14:58:59+01:00</dcterms:created>
  <dcterms:modified xsi:type="dcterms:W3CDTF">2025-12-17T14:58:59+01:00</dcterms:modified>
</cp:coreProperties>
</file>

<file path=docProps/custom.xml><?xml version="1.0" encoding="utf-8"?>
<Properties xmlns="http://schemas.openxmlformats.org/officeDocument/2006/custom-properties" xmlns:vt="http://schemas.openxmlformats.org/officeDocument/2006/docPropsVTypes"/>
</file>