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Procédé de préparation de sol pour la pose de revêtement</w:t>
      </w:r>
    </w:p>
    <w:p>
      <w:pPr/>
      <w:r>
        <w:rPr>
          <w:rStyle w:val="font_h1"/>
        </w:rPr>
        <w:t xml:space="preserve">1. Description du système</w:t>
      </w:r>
    </w:p>
    <w:p>
      <w:pPr/>
      <w:r>
        <w:rPr>
          <w:rStyle w:val="font_h1"/>
        </w:rPr>
        <w:t xml:space="preserve">2. Domaine d'emploi</w:t>
      </w:r>
    </w:p>
    <w:p>
      <w:pPr/>
      <w:r>
        <w:rPr>
          <w:rStyle w:val="font_h1"/>
        </w:rPr>
        <w:t xml:space="preserve">3. Produits et matériaux</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Assistance technique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84B78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2026-09-21T18:09:11+02:00</dcterms:created>
  <dcterms:modified xsi:type="dcterms:W3CDTF">2026-09-21T18:09:11+02:00</dcterms:modified>
</cp:coreProperties>
</file>

<file path=docProps/custom.xml><?xml version="1.0" encoding="utf-8"?>
<Properties xmlns="http://schemas.openxmlformats.org/officeDocument/2006/custom-properties" xmlns:vt="http://schemas.openxmlformats.org/officeDocument/2006/docPropsVTypes"/>
</file>