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09/07/2026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Système de revêtement pour bassins de piscine</w:t>
      </w:r>
    </w:p>
    <w:p>
      <w:pPr/>
      <w:r>
        <w:rPr>
          <w:rStyle w:val="font_h1"/>
        </w:rPr>
        <w:t xml:space="preserve">1. Destination et principe</w:t>
      </w:r>
    </w:p>
    <w:p>
      <w:pPr>
        <w:ind w:left="720" w:right="0"/>
      </w:pPr>
      <w:r>
        <w:rPr>
          <w:rStyle w:val="font_h2"/>
        </w:rPr>
        <w:t xml:space="preserve">1.1. Définition</w:t>
      </w:r>
    </w:p>
    <w:p>
      <w:pPr/>
      <w:r>
        <w:rPr>
          <w:rStyle w:val="font_h1"/>
        </w:rPr>
        <w:t xml:space="preserve">2. Domaine d’utilisation</w:t>
      </w:r>
    </w:p>
    <w:p>
      <w:pPr/>
      <w:r>
        <w:rPr>
          <w:rStyle w:val="font_h1"/>
        </w:rPr>
        <w:t xml:space="preserve">3. Références normatives</w:t>
      </w:r>
    </w:p>
    <w:p>
      <w:pPr/>
      <w:r>
        <w:rPr>
          <w:rStyle w:val="font_h1"/>
        </w:rPr>
        <w:t xml:space="preserve">4. Matériaux et accessoires de mise en œuvre</w:t>
      </w:r>
    </w:p>
    <w:p>
      <w:pPr>
        <w:ind w:left="720" w:right="0"/>
      </w:pPr>
      <w:r>
        <w:rPr>
          <w:rStyle w:val="font_h2"/>
        </w:rPr>
        <w:t xml:space="preserve">4.1. Panneaux de parois</w:t>
      </w:r>
    </w:p>
    <w:p>
      <w:pPr>
        <w:ind w:left="720" w:right="0"/>
      </w:pPr>
      <w:r>
        <w:rPr>
          <w:rStyle w:val="font_h2"/>
        </w:rPr>
        <w:t xml:space="preserve">4.2. Membrane en PVC armé</w:t>
      </w:r>
    </w:p>
    <w:p>
      <w:pPr>
        <w:ind w:left="720" w:right="0"/>
      </w:pPr>
      <w:r>
        <w:rPr>
          <w:rStyle w:val="font_h2"/>
        </w:rPr>
        <w:t xml:space="preserve">4.3. Colles</w:t>
      </w:r>
    </w:p>
    <w:p>
      <w:pPr>
        <w:ind w:left="720" w:right="0"/>
      </w:pPr>
      <w:r>
        <w:rPr>
          <w:rStyle w:val="font_h2"/>
        </w:rPr>
        <w:t xml:space="preserve">4.4. Joints et produits de jointoiement</w:t>
      </w:r>
    </w:p>
    <w:p>
      <w:pPr>
        <w:ind w:left="720" w:right="0"/>
      </w:pPr>
      <w:r>
        <w:rPr>
          <w:rStyle w:val="font_h2"/>
        </w:rPr>
        <w:t xml:space="preserve">4.5. Tapis de confort PEM</w:t>
      </w:r>
    </w:p>
    <w:p>
      <w:pPr>
        <w:ind w:left="720" w:right="0"/>
      </w:pPr>
      <w:r>
        <w:rPr>
          <w:rStyle w:val="font_h2"/>
        </w:rPr>
        <w:t xml:space="preserve">4.6. Profilé pour périphérie de fond de bassin</w:t>
      </w:r>
    </w:p>
    <w:p>
      <w:pPr>
        <w:ind w:left="720" w:right="0"/>
      </w:pPr>
      <w:r>
        <w:rPr>
          <w:rStyle w:val="font_h2"/>
        </w:rPr>
        <w:t xml:space="preserve">4.7. Mousse haute densité</w:t>
      </w:r>
    </w:p>
    <w:p>
      <w:pPr>
        <w:ind w:left="720" w:right="0"/>
      </w:pPr>
      <w:r>
        <w:rPr>
          <w:rStyle w:val="font_h2"/>
        </w:rPr>
        <w:t xml:space="preserve">4.8. Kit de peinture pour marquages</w:t>
      </w:r>
    </w:p>
    <w:p>
      <w:pPr>
        <w:ind w:left="720" w:right="0"/>
      </w:pPr>
      <w:r>
        <w:rPr>
          <w:rStyle w:val="font_h2"/>
        </w:rPr>
        <w:t xml:space="preserve">4.9. Rivets à expansion</w:t>
      </w:r>
    </w:p>
    <w:p>
      <w:pPr/>
      <w:r>
        <w:rPr>
          <w:rStyle w:val="font_h1"/>
        </w:rPr>
        <w:t xml:space="preserve">5. Conception des éléments du système</w:t>
      </w:r>
    </w:p>
    <w:p>
      <w:pPr>
        <w:ind w:left="720" w:right="0"/>
      </w:pPr>
      <w:r>
        <w:rPr>
          <w:rStyle w:val="font_h2"/>
        </w:rPr>
        <w:t xml:space="preserve">5.1. Ouvrages de gros œuvre – Eléments porteurs</w:t>
      </w:r>
    </w:p>
    <w:p>
      <w:pPr>
        <w:ind w:left="720" w:right="0"/>
      </w:pPr>
      <w:r>
        <w:rPr>
          <w:rStyle w:val="font_h2"/>
        </w:rPr>
        <w:t xml:space="preserve">5.2. Parois du bassin</w:t>
      </w:r>
    </w:p>
    <w:p>
      <w:pPr>
        <w:ind w:left="720" w:right="0"/>
      </w:pPr>
      <w:r>
        <w:rPr>
          <w:rStyle w:val="font_h2"/>
        </w:rPr>
        <w:t xml:space="preserve">5.3. Goulottes de débordement</w:t>
      </w:r>
    </w:p>
    <w:p>
      <w:pPr>
        <w:ind w:left="720" w:right="0"/>
      </w:pPr>
      <w:r>
        <w:rPr>
          <w:rStyle w:val="font_h2"/>
        </w:rPr>
        <w:t xml:space="preserve">5.4. Quai</w:t>
      </w:r>
    </w:p>
    <w:p>
      <w:pPr>
        <w:ind w:left="720" w:right="0"/>
      </w:pPr>
      <w:r>
        <w:rPr>
          <w:rStyle w:val="font_h2"/>
        </w:rPr>
        <w:t xml:space="preserve">5.5. Equipements de bassin</w:t>
      </w:r>
    </w:p>
    <w:p>
      <w:pPr>
        <w:ind w:left="720" w:right="0"/>
      </w:pPr>
      <w:r>
        <w:rPr>
          <w:rStyle w:val="font_h2"/>
        </w:rPr>
        <w:t xml:space="preserve">5.6. Fond de bassin</w:t>
      </w:r>
    </w:p>
    <w:p>
      <w:pPr>
        <w:ind w:left="720" w:right="0"/>
      </w:pPr>
      <w:r>
        <w:rPr>
          <w:rStyle w:val="font_h2"/>
        </w:rPr>
        <w:t xml:space="preserve">5.7. Surfaces antidérapantes</w:t>
      </w:r>
    </w:p>
    <w:p>
      <w:pPr>
        <w:ind w:left="720" w:right="0"/>
      </w:pPr>
      <w:r>
        <w:rPr>
          <w:rStyle w:val="font_h2"/>
        </w:rPr>
        <w:t xml:space="preserve">5.8. Intégration d’équipements spéciaux</w:t>
      </w:r>
    </w:p>
    <w:p>
      <w:pPr>
        <w:ind w:left="720" w:right="0"/>
      </w:pPr>
      <w:r>
        <w:rPr>
          <w:rStyle w:val="font_h2"/>
        </w:rPr>
        <w:t xml:space="preserve">5.9. Etanchéité des plages de bassin</w:t>
      </w:r>
    </w:p>
    <w:p>
      <w:pPr/>
      <w:r>
        <w:rPr>
          <w:rStyle w:val="font_h1"/>
        </w:rPr>
        <w:t xml:space="preserve">6. Fabrication</w:t>
      </w:r>
    </w:p>
    <w:p>
      <w:pPr>
        <w:ind w:left="720" w:right="0"/>
      </w:pPr>
      <w:r>
        <w:rPr>
          <w:rStyle w:val="font_h2"/>
        </w:rPr>
        <w:t xml:space="preserve">6.1. Panneaux</w:t>
      </w:r>
    </w:p>
    <w:p>
      <w:pPr>
        <w:ind w:left="720" w:right="0"/>
      </w:pPr>
      <w:r>
        <w:rPr>
          <w:rStyle w:val="font_h2"/>
        </w:rPr>
        <w:t xml:space="preserve">6.2. Membranes en PVC armé</w:t>
      </w:r>
    </w:p>
    <w:p>
      <w:pPr/>
      <w:r>
        <w:rPr>
          <w:rStyle w:val="font_h1"/>
        </w:rPr>
        <w:t xml:space="preserve">7. Mise en œuvre du système</w:t>
      </w:r>
    </w:p>
    <w:p>
      <w:pPr>
        <w:ind w:left="720" w:right="0"/>
      </w:pPr>
      <w:r>
        <w:rPr>
          <w:rStyle w:val="font_h2"/>
        </w:rPr>
        <w:t xml:space="preserve">7.1. Exigences relatives aux entreprises qui mettent en œuvre le système</w:t>
      </w:r>
    </w:p>
    <w:p>
      <w:pPr>
        <w:ind w:left="720" w:right="0"/>
      </w:pPr>
      <w:r>
        <w:rPr>
          <w:rStyle w:val="font_h2"/>
        </w:rPr>
        <w:t xml:space="preserve">7.2. Opérations préalables incombant à d’autres intervenants</w:t>
      </w:r>
    </w:p>
    <w:p>
      <w:pPr>
        <w:ind w:left="720" w:right="0"/>
      </w:pPr>
      <w:r>
        <w:rPr>
          <w:rStyle w:val="font_h2"/>
        </w:rPr>
        <w:t xml:space="preserve">7.3. Hygiène et sécurité</w:t>
      </w:r>
    </w:p>
    <w:p>
      <w:pPr>
        <w:ind w:left="720" w:right="0"/>
      </w:pPr>
      <w:r>
        <w:rPr>
          <w:rStyle w:val="font_h2"/>
        </w:rPr>
        <w:t xml:space="preserve">7.4. Exigences relatives aux supports (éléments porteurs)</w:t>
      </w:r>
    </w:p>
    <w:p>
      <w:pPr>
        <w:ind w:left="720" w:right="0"/>
      </w:pPr>
      <w:r>
        <w:rPr>
          <w:rStyle w:val="font_h2"/>
        </w:rPr>
        <w:t xml:space="preserve">7.5. Préparation des supports</w:t>
      </w:r>
    </w:p>
    <w:p>
      <w:pPr/>
      <w:r>
        <w:rPr>
          <w:rStyle w:val="font_h1"/>
        </w:rPr>
        <w:t xml:space="preserve">8. Pose du système et contrôles d’exécution</w:t>
      </w:r>
    </w:p>
    <w:p>
      <w:pPr>
        <w:ind w:left="720" w:right="0"/>
      </w:pPr>
      <w:r>
        <w:rPr>
          <w:rStyle w:val="font_h2"/>
        </w:rPr>
        <w:t xml:space="preserve">8.1. Traçabilité – Marquage</w:t>
      </w:r>
    </w:p>
    <w:p>
      <w:pPr>
        <w:ind w:left="720" w:right="0"/>
      </w:pPr>
      <w:r>
        <w:rPr>
          <w:rStyle w:val="font_h2"/>
        </w:rPr>
        <w:t xml:space="preserve">8.2. Conditions de chantier</w:t>
      </w:r>
    </w:p>
    <w:p>
      <w:pPr>
        <w:ind w:left="720" w:right="0"/>
      </w:pPr>
      <w:r>
        <w:rPr>
          <w:rStyle w:val="font_h2"/>
        </w:rPr>
        <w:t xml:space="preserve">8.3. Chronologie de mise en œuvre</w:t>
      </w:r>
    </w:p>
    <w:p>
      <w:pPr>
        <w:ind w:left="720" w:right="0"/>
      </w:pPr>
      <w:r>
        <w:rPr>
          <w:rStyle w:val="font_h2"/>
        </w:rPr>
        <w:t xml:space="preserve">8.4. Traitement des points singuliers</w:t>
      </w:r>
    </w:p>
    <w:p>
      <w:pPr>
        <w:ind w:left="720" w:right="0"/>
      </w:pPr>
      <w:r>
        <w:rPr>
          <w:rStyle w:val="font_h2"/>
        </w:rPr>
        <w:t xml:space="preserve">8.5. Contrôles à l’avancement</w:t>
      </w:r>
    </w:p>
    <w:p>
      <w:pPr/>
      <w:r>
        <w:rPr>
          <w:rStyle w:val="font_h1"/>
        </w:rPr>
        <w:t xml:space="preserve">9. Mise en service</w:t>
      </w:r>
    </w:p>
    <w:p>
      <w:pPr/>
      <w:r>
        <w:rPr>
          <w:rStyle w:val="font_h1"/>
        </w:rPr>
        <w:t xml:space="preserve">10. Utilisation et entretien des bassins</w:t>
      </w:r>
    </w:p>
    <w:p>
      <w:pPr/>
      <w:r>
        <w:rPr>
          <w:rStyle w:val="font_h1"/>
        </w:rPr>
        <w:t xml:space="preserve">11. Réparations - Adaptations</w:t>
      </w:r>
    </w:p>
    <w:p>
      <w:pPr/>
      <w:r>
        <w:rPr>
          <w:rStyle w:val="font_h1"/>
        </w:rPr>
        <w:t xml:space="preserve">12. Assistance Technique</w:t>
      </w:r>
    </w:p>
    <w:p>
      <w:pPr>
        <w:ind w:left="720" w:right="0"/>
      </w:pPr>
      <w:r>
        <w:rPr>
          <w:rStyle w:val="font_h2"/>
        </w:rPr>
        <w:t xml:space="preserve">12.1. Service après-vente</w:t>
      </w:r>
    </w:p>
    <w:p>
      <w:pPr>
        <w:ind w:left="720" w:right="0"/>
      </w:pPr>
      <w:r>
        <w:rPr>
          <w:rStyle w:val="font_h2"/>
        </w:rPr>
        <w:t xml:space="preserve">12.2. Modalités d'assistance technique</w:t>
      </w:r>
    </w:p>
    <w:p>
      <w:pPr/>
      <w:r>
        <w:rPr>
          <w:rStyle w:val="font_h1"/>
        </w:rPr>
        <w:t xml:space="preserve">13.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9"/>
        </w:numPr>
      </w:pPr>
      <w:r>
        <w:rPr/>
        <w:t xml:space="preserve">La fabrication et le suivi de production sont les mêmes ;</w:t>
      </w:r>
    </w:p>
    <w:p>
      <w:pPr>
        <w:pPr/>
        <w:numPr>
          <w:ilvl w:val="0"/>
          <w:numId w:val="9"/>
        </w:numPr>
      </w:pPr>
      <w:r>
        <w:rPr/>
        <w:t xml:space="preserve">Les caractéristiques d’aptitude à l’emploi annoncées et justifiées au DTED sont identiques ou meilleures ;</w:t>
      </w:r>
    </w:p>
    <w:p>
      <w:pPr>
        <w:pPr/>
        <w:numPr>
          <w:ilvl w:val="0"/>
          <w:numId w:val="9"/>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B131B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2026-07-09T03:12:44+02:00</dcterms:created>
  <dcterms:modified xsi:type="dcterms:W3CDTF">2026-07-09T03:12:44+02:00</dcterms:modified>
</cp:coreProperties>
</file>

<file path=docProps/custom.xml><?xml version="1.0" encoding="utf-8"?>
<Properties xmlns="http://schemas.openxmlformats.org/officeDocument/2006/custom-properties" xmlns:vt="http://schemas.openxmlformats.org/officeDocument/2006/docPropsVTypes"/>
</file>