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bac métallique totalement supporté</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05/02/2018</w:t>
      </w:r>
    </w:p>
    <w:p>
      <w:pPr/>
      <w:r>
        <w:rPr>
          <w:b/>
          <w:bCs/>
        </w:rPr>
        <w:t xml:space="preserve">Description</w:t>
      </w:r>
    </w:p>
    <w:p>
      <w:pPr/>
      <w:r>
        <w:rPr>
          <w:b/>
          <w:bCs/>
          <w:i/>
          <w:iCs/>
        </w:rPr>
        <w:t xml:space="preserve">JURISPRUDENCE :</w:t>
      </w:r>
      <w:r>
        <w:rPr>
          <w:i/>
          <w:iCs/>
        </w:rPr>
        <w:t xml:space="preserve"> Lors de la présentation des listes de références des procédés de bacs en acier prélaqués totalement supporté selon la norme NF EN 14783, il y a lieu de préciser les références avec supports non compatibles.</w:t>
      </w:r>
    </w:p>
    <w:p>
      <w:pPr/>
      <w:r>
        <w:rPr>
          <w:rStyle w:val="font_h1"/>
        </w:rPr>
        <w:t xml:space="preserve">2. Domaine d'emploi</w:t>
      </w:r>
    </w:p>
    <w:p>
      <w:pPr/>
      <w:r>
        <w:rPr/>
        <w:t xml:space="preserve">Validé par le Groupe Spécialisé le 31/01/2022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Pente amissibles ;</w:t>
      </w:r>
    </w:p>
    <w:p>
      <w:pPr>
        <w:pPr/>
        <w:numPr>
          <w:ilvl w:val="0"/>
          <w:numId w:val="9"/>
        </w:numPr>
      </w:pPr>
      <w:r>
        <w:rPr/>
        <w:t xml:space="preserve">Longueur de bac maximale et longueur de rampant maximale ;</w:t>
      </w:r>
    </w:p>
    <w:p>
      <w:pPr>
        <w:pPr/>
        <w:numPr>
          <w:ilvl w:val="0"/>
          <w:numId w:val="9"/>
        </w:numPr>
      </w:pPr>
      <w:r>
        <w:rPr/>
        <w:t xml:space="preserve">Couverture plane ou cintrée (sur justifications particulières) ;</w:t>
      </w:r>
    </w:p>
    <w:p>
      <w:pPr>
        <w:pPr/>
        <w:numPr>
          <w:ilvl w:val="0"/>
          <w:numId w:val="9"/>
        </w:numPr>
      </w:pPr>
      <w:r>
        <w:rPr/>
        <w:t xml:space="preserve">Support direct visé ;</w:t>
      </w:r>
    </w:p>
    <w:p>
      <w:pPr>
        <w:pPr/>
        <w:numPr>
          <w:ilvl w:val="0"/>
          <w:numId w:val="9"/>
        </w:numPr>
      </w:pPr>
      <w:r>
        <w:rPr/>
        <w:t xml:space="preserve">Valeurs de pression et dépression maximale admissible (selon règles NV 65 modifiées) ; </w:t>
      </w:r>
    </w:p>
    <w:p>
      <w:pPr>
        <w:pPr/>
        <w:numPr>
          <w:ilvl w:val="0"/>
          <w:numId w:val="9"/>
        </w:numPr>
      </w:pPr>
      <w:r>
        <w:rPr/>
        <w:t xml:space="preserve">...</w:t>
      </w:r>
    </w:p>
    <w:p>
      <w:pPr/>
      <w:r>
        <w:rPr>
          <w:b/>
          <w:bCs/>
          <w:i/>
          <w:iCs/>
        </w:rPr>
        <w:t xml:space="preserve">JURISPRUDENCE :</w:t>
      </w:r>
      <w:r>
        <w:rPr>
          <w:i/>
          <w:iCs/>
        </w:rPr>
        <w:t xml:space="preserve"> Lors de la présentation des listes de références des procédés de bacs en acier prélaqués totalement supporté selon la norme NF EN 14783, il y a lieu de préciser les références avec supports non compatibles au sens du DTU 40.41.</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maximale de bac ,</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concomitance vent-pluie et situation selon le DTU 40.41,</w:t>
      </w:r>
    </w:p>
    <w:p>
      <w:pPr>
        <w:pPr/>
        <w:numPr>
          <w:ilvl w:val="0"/>
          <w:numId w:val="10"/>
        </w:numPr>
      </w:pPr>
      <w:r>
        <w:rPr/>
        <w:t xml:space="preserve">la zone de vent et de neige selon les règles NV 65 modifiées,</w:t>
      </w:r>
    </w:p>
    <w:p>
      <w:pPr>
        <w:pPr/>
        <w:numPr>
          <w:ilvl w:val="0"/>
          <w:numId w:val="10"/>
        </w:numPr>
      </w:pPr>
      <w:r>
        <w:rPr/>
        <w:t xml:space="preserve">la nature du support, </w:t>
      </w:r>
    </w:p>
    <w:p>
      <w:pPr>
        <w:pPr/>
        <w:numPr>
          <w:ilvl w:val="0"/>
          <w:numId w:val="10"/>
        </w:numPr>
      </w:pPr>
      <w:r>
        <w:rPr/>
        <w:t xml:space="preserve">la présence ou non de couche de séparation,</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ou cintrée (avec le rayon si cintré),</w:t>
      </w:r>
    </w:p>
    <w:p>
      <w:pPr>
        <w:pPr/>
        <w:numPr>
          <w:ilvl w:val="0"/>
          <w:numId w:val="10"/>
        </w:numPr>
      </w:pPr>
      <w:r>
        <w:rPr/>
        <w:t xml:space="preserve">le type de fixations.</w:t>
      </w:r>
    </w:p>
    <w:p>
      <w:pPr>
        <w:pPr/>
        <w:numPr>
          <w:ilvl w:val="0"/>
          <w:numId w:val="10"/>
        </w:numPr>
      </w:pPr>
      <w:r>
        <w:rPr/>
        <w:t xml:space="preserve">le bord de mer (≤ 20 km) le cas échéant,</w:t>
      </w:r>
    </w:p>
    <w:p>
      <w:pPr>
        <w:pPr/>
        <w:numPr>
          <w:ilvl w:val="0"/>
          <w:numId w:val="10"/>
        </w:numPr>
      </w:pPr>
      <w:r>
        <w:rPr/>
        <w:t xml:space="preserve">la présence de pénétration particulières,</w:t>
      </w:r>
    </w:p>
    <w:p>
      <w:pPr>
        <w:pPr/>
        <w:numPr>
          <w:ilvl w:val="0"/>
          <w:numId w:val="10"/>
        </w:numPr>
      </w:pPr>
      <w:r>
        <w:rPr/>
        <w:t xml:space="preserve">...</w:t>
      </w:r>
    </w:p>
    <w:p>
      <w:pPr/>
      <w:r>
        <w:rPr>
          <w:rStyle w:val="font_h1"/>
        </w:rPr>
        <w:t xml:space="preserve">3. Eléments et matériaux constitutifs du procédé</w:t>
      </w:r>
    </w:p>
    <w:p>
      <w:pPr>
        <w:ind w:left="720" w:right="0"/>
      </w:pPr>
      <w:r>
        <w:rPr>
          <w:rStyle w:val="font_h2"/>
        </w:rPr>
        <w:t xml:space="preserve">3.1. Bacs</w:t>
      </w:r>
    </w:p>
    <w:p>
      <w:pPr>
        <w:ind w:left="1440" w:right="0"/>
      </w:pPr>
      <w:r>
        <w:rPr>
          <w:rStyle w:val="font_h3"/>
        </w:rPr>
        <w:t xml:space="preserve">3.1.1. Description</w:t>
      </w:r>
    </w:p>
    <w:p>
      <w:pPr/>
      <w:r>
        <w:rPr/>
        <w:t xml:space="preserve">Validé par le Groupe Spécialisé le 30/01/2023</w:t>
      </w:r>
    </w:p>
    <w:p>
      <w:pPr/>
      <w:r>
        <w:rPr>
          <w:b/>
          <w:bCs/>
        </w:rPr>
        <w:t xml:space="preserve">Description</w:t>
      </w:r>
    </w:p>
    <w:p>
      <w:pPr/>
      <w:r>
        <w:rPr/>
        <w:t xml:space="preserve">Décrire la géométrie du bac métallique de couverture, sa nuance, sa protection, et sa finition.</w:t>
      </w:r>
    </w:p>
    <w:p>
      <w:pPr/>
      <w:r>
        <w:rPr/>
        <w:t xml:space="preserve">Le bac ou la bobine doit être marqué CE selon la norme NF EN 14783.</w:t>
      </w:r>
    </w:p>
    <w:p>
      <w:pPr/>
      <w:r>
        <w:rPr/>
        <w:t xml:space="preserve">Décrire s'il est vendu des bobines pour profilage sur site et/ou également des bacs préformés profilés en usine.</w:t>
      </w:r>
    </w:p>
    <w:p>
      <w:pPr/>
      <w:r>
        <w:rPr>
          <w:b/>
          <w:bCs/>
        </w:rPr>
        <w:t xml:space="preserve">Justification</w:t>
      </w:r>
    </w:p>
    <w:p>
      <w:pPr/>
      <w:r>
        <w:rPr/>
        <w:t xml:space="preserve">Fournir la Déclaration de Performances (DdP ou DOP) et des exemples d'étiquettes CE selon la norme NF EN 14783 des bacs et/ou des bobines.</w:t>
      </w:r>
    </w:p>
    <w:p>
      <w:pPr/>
      <w:r>
        <w:rPr/>
        <w:t xml:space="preserve">En cas de revêtement organique d’épaisseur ou de Pouvoir Calorifique Supérieur (PCS) supérieurs au seuil prévu par l’arrêté du 14 février 2003,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bac métallique, avec à minima les cotes suivantes :</w:t>
      </w:r>
    </w:p>
    <w:p>
      <w:pPr>
        <w:pPr/>
        <w:numPr>
          <w:ilvl w:val="0"/>
          <w:numId w:val="11"/>
        </w:numPr>
      </w:pPr>
      <w:r>
        <w:rPr/>
        <w:t xml:space="preserve">Hauteur du joint debout ;</w:t>
      </w:r>
    </w:p>
    <w:p>
      <w:pPr>
        <w:pPr/>
        <w:numPr>
          <w:ilvl w:val="0"/>
          <w:numId w:val="11"/>
        </w:numPr>
      </w:pPr>
      <w:r>
        <w:rPr/>
        <w:t xml:space="preserve">Hauteur de garde d'eau du joint debout ;</w:t>
      </w:r>
    </w:p>
    <w:p>
      <w:pPr>
        <w:pPr/>
        <w:numPr>
          <w:ilvl w:val="0"/>
          <w:numId w:val="11"/>
        </w:numPr>
      </w:pPr>
      <w:r>
        <w:rPr/>
        <w:t xml:space="preserve">Largeur du bac.</w:t>
      </w:r>
    </w:p>
    <w:p>
      <w:pPr>
        <w:ind w:left="1440" w:right="0"/>
      </w:pPr>
      <w:r>
        <w:rPr>
          <w:rStyle w:val="font_h3"/>
        </w:rPr>
        <w:t xml:space="preserve">3.1.2. Caractéristiques des alliages</w:t>
      </w:r>
    </w:p>
    <w:p>
      <w:pPr/>
      <w:r>
        <w:rPr/>
        <w:t xml:space="preserve">Validé par le Groupe Spécialisé le 31/01/2022</w:t>
      </w:r>
    </w:p>
    <w:p>
      <w:pPr/>
      <w:r>
        <w:rPr>
          <w:b/>
          <w:bCs/>
        </w:rPr>
        <w:t xml:space="preserve">Description</w:t>
      </w:r>
    </w:p>
    <w:p>
      <w:pPr/>
      <w:r>
        <w:rPr/>
        <w:t xml:space="preserve">Indiquer avec précision la nuance du métal utilisée, et ses propriétés mécaniques le cas échéant (ou renvoi à une norme européenne les définissant).</w:t>
      </w:r>
    </w:p>
    <w:p>
      <w:pPr/>
      <w:r>
        <w:rPr/>
        <w:t xml:space="preserve">Indiquer avec précision la classe de galvanisation ou de protection métallique utilisée.</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ind w:left="1440" w:right="0"/>
      </w:pPr>
      <w:r>
        <w:rPr>
          <w:rStyle w:val="font_h3"/>
        </w:rPr>
        <w:t xml:space="preserve">3.1.3. Caractéristiques géométriques et tolérances</w:t>
      </w:r>
    </w:p>
    <w:p>
      <w:pPr/>
      <w:r>
        <w:rPr/>
        <w:t xml:space="preserve">Validé par le Groupe Spécialisé le 31/01/2022</w:t>
      </w:r>
    </w:p>
    <w:p>
      <w:pPr/>
      <w:r>
        <w:rPr>
          <w:b/>
          <w:bCs/>
        </w:rPr>
        <w:t xml:space="preserve">Description</w:t>
      </w:r>
    </w:p>
    <w:p>
      <w:pPr/>
      <w:r>
        <w:rPr/>
        <w:t xml:space="preserve">Indiquer, que ce soit pour une bobine ou un bac profilé en usine :</w:t>
      </w:r>
    </w:p>
    <w:p>
      <w:pPr>
        <w:pPr/>
        <w:numPr>
          <w:ilvl w:val="0"/>
          <w:numId w:val="12"/>
        </w:numPr>
      </w:pPr>
      <w:r>
        <w:rPr/>
        <w:t xml:space="preserve">l’épaisseur nominale de la tôle et tolérances,</w:t>
      </w:r>
    </w:p>
    <w:p>
      <w:pPr>
        <w:pPr/>
        <w:numPr>
          <w:ilvl w:val="0"/>
          <w:numId w:val="12"/>
        </w:numPr>
      </w:pPr>
      <w:r>
        <w:rPr/>
        <w:t xml:space="preserve">la largeur de la bobine et tolérances,</w:t>
      </w:r>
    </w:p>
    <w:p>
      <w:pPr>
        <w:pPr/>
        <w:numPr>
          <w:ilvl w:val="0"/>
          <w:numId w:val="12"/>
        </w:numPr>
      </w:pPr>
      <w:r>
        <w:rPr/>
        <w:t xml:space="preserve">la largeur utile du bac profilé et tolérances.</w:t>
      </w:r>
    </w:p>
    <w:p>
      <w:pPr/>
      <w:r>
        <w:rPr>
          <w:b/>
          <w:bCs/>
        </w:rPr>
        <w:t xml:space="preserve">Justification</w:t>
      </w:r>
    </w:p>
    <w:p>
      <w:pPr/>
      <w:r>
        <w:rPr/>
        <w:t xml:space="preserve">Fournir des relevés d'autocontrôles de production justifiant les épaisseurs, largeurs et tolérances mentionnées dans le document.</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03/06/2019</w:t>
      </w:r>
    </w:p>
    <w:p>
      <w:pPr/>
      <w:r>
        <w:rPr>
          <w:b/>
          <w:bCs/>
        </w:rPr>
        <w:t xml:space="preserve">Description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03/06/2019</w:t>
      </w:r>
    </w:p>
    <w:p>
      <w:pPr/>
      <w:r>
        <w:rPr>
          <w:b/>
          <w:bCs/>
        </w:rPr>
        <w:t xml:space="preserve">Description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Laquage / Envers de bande</w:t>
      </w:r>
    </w:p>
    <w:p>
      <w:pPr>
        <w:ind w:left="2880" w:right="0"/>
      </w:pPr>
      <w:r>
        <w:rPr>
          <w:rStyle w:val="font_h3"/>
        </w:rPr>
        <w:t xml:space="preserve">3.1.4.2.1. Aluminium</w:t>
      </w:r>
    </w:p>
    <w:p>
      <w:pPr/>
      <w:r>
        <w:rPr/>
        <w:t xml:space="preserve">Validé par le Groupe Spécialisé le 31/01/2022</w:t>
      </w:r>
    </w:p>
    <w:p>
      <w:pPr/>
      <w:r>
        <w:rPr>
          <w:b/>
          <w:bCs/>
        </w:rPr>
        <w:t xml:space="preserve">Description</w:t>
      </w:r>
    </w:p>
    <w:p>
      <w:pPr/>
      <w:r>
        <w:rPr/>
        <w:t xml:space="preserve">Décrire le revêtement organique de sous-face, en donnant à minima le type de revêtement et son épaisseur.</w:t>
      </w:r>
    </w:p>
    <w:p>
      <w:pPr/>
      <w:r>
        <w:rPr>
          <w:b/>
          <w:bCs/>
        </w:rPr>
        <w:t xml:space="preserve">Justification</w:t>
      </w:r>
    </w:p>
    <w:p>
      <w:pPr/>
      <w:r>
        <w:rPr/>
        <w:t xml:space="preserve">Fournir les fiches techniques des revêtements et les rapports d'essais éventuels concernant la sous-face.</w:t>
      </w:r>
    </w:p>
    <w:p>
      <w:pPr/>
      <w:r>
        <w:rPr/>
        <w:t xml:space="preserve">Fournir un exemple de certificat matière (type 3.1) pour vérification du revêtement de sous-face.</w:t>
      </w:r>
    </w:p>
    <w:p>
      <w:pPr>
        <w:ind w:left="2880" w:right="0"/>
      </w:pPr>
      <w:r>
        <w:rPr>
          <w:rStyle w:val="font_h3"/>
        </w:rPr>
        <w:t xml:space="preserve">3.1.4.2.2. Acier prélaqué</w:t>
      </w:r>
    </w:p>
    <w:p>
      <w:pPr/>
      <w:r>
        <w:rPr/>
        <w:t xml:space="preserve">Validé par le Groupe Spécialisé le 02/11/2020</w:t>
      </w:r>
    </w:p>
    <w:p>
      <w:pPr/>
      <w:r>
        <w:rPr>
          <w:b/>
          <w:bCs/>
        </w:rPr>
        <w:t xml:space="preserve">Description</w:t>
      </w:r>
    </w:p>
    <w:p>
      <w:pPr/>
      <w:r>
        <w:rPr/>
        <w:t xml:space="preserve">Pour l'envers de bande des bacs acier, donner les épaisseurs et la nature des laquages ou protections de surface.</w:t>
      </w:r>
    </w:p>
    <w:p>
      <w:pPr/>
      <w:r>
        <w:rPr>
          <w:i/>
          <w:iCs/>
        </w:rPr>
        <w:t xml:space="preserve">JURISPRUDENCE : Dans le cas de procédés de couverture métallique totalement supportée en acier prélaqué, le revêtement de l’envers de bande d’un bac acier avec galvanisation Z225 ou Z275 sera d’une épaisseur minimale de 15 µm, sauf justification particulière (dans le cadre de l’instruction de l’Avis Technique) de tenue à la corrosion des sous-faces, compte tenu des atmosphères extérieures revendiquées et des éléments en contact. Dans le cas d’un bac acier avec galvanisation Z350, il sera d’une épaisseur minimale de 10 µm, sauf justification particulière similaire.</w:t>
      </w:r>
    </w:p>
    <w:p>
      <w:pPr>
        <w:ind w:left="1440" w:right="0"/>
      </w:pPr>
      <w:r>
        <w:rPr>
          <w:rStyle w:val="font_h3"/>
        </w:rPr>
        <w:t xml:space="preserve">3.1.5. Adaptation aux contraintes atmosphériques extérieures et contraintes d'ambiances intérieures</w:t>
      </w:r>
    </w:p>
    <w:p>
      <w:pPr/>
      <w:r>
        <w:rPr/>
        <w:t xml:space="preserve">Validé par le Groupe Spécialisé le 31/01/2022</w:t>
      </w:r>
    </w:p>
    <w:p>
      <w:pPr/>
      <w:r>
        <w:rPr>
          <w:b/>
          <w:bCs/>
        </w:rPr>
        <w:t xml:space="preserve">Description</w:t>
      </w:r>
    </w:p>
    <w:p>
      <w:pPr/>
      <w:r>
        <w:rPr/>
        <w:t xml:space="preserve">Décrire les atmosphères extérieures (selon NF DTU 40.41) visées en fonction du type de revêtement visé.</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Faire un tableau, à justifier par des fiches techniques et rapports d'essais.</w:t>
      </w:r>
    </w:p>
    <w:p>
      <w:pPr>
        <w:ind w:left="720" w:right="0"/>
      </w:pPr>
      <w:r>
        <w:rPr>
          <w:rStyle w:val="font_h2"/>
        </w:rPr>
        <w:t xml:space="preserve">3.2. Pattes de fixation</w:t>
      </w:r>
    </w:p>
    <w:p>
      <w:pPr/>
      <w:r>
        <w:rPr/>
        <w:t xml:space="preserve">Validé par le Groupe Spécialisé le 30/01/2023</w:t>
      </w:r>
    </w:p>
    <w:p>
      <w:pPr/>
      <w:r>
        <w:rPr>
          <w:b/>
          <w:bCs/>
        </w:rPr>
        <w:t xml:space="preserve">Description</w:t>
      </w:r>
    </w:p>
    <w:p>
      <w:pPr/>
      <w:r>
        <w:rPr/>
        <w:t xml:space="preserve">Décrire les pattes de fixations éventuelles (fixes et coulissantes) : géométrie, nature (nuance), épaisseur, perçage ...</w:t>
      </w:r>
    </w:p>
    <w:p>
      <w:pPr/>
      <w:r>
        <w:rPr>
          <w:b/>
          <w:bCs/>
        </w:rPr>
        <w:t xml:space="preserve">Illustration</w:t>
      </w:r>
    </w:p>
    <w:p>
      <w:pPr/>
      <w:r>
        <w:rPr/>
        <w:t xml:space="preserve">Faire une figure cotée pour chaque type de patte.</w:t>
      </w:r>
    </w:p>
    <w:p>
      <w:pPr>
        <w:ind w:left="720" w:right="0"/>
      </w:pPr>
      <w:r>
        <w:rPr>
          <w:rStyle w:val="font_h2"/>
        </w:rPr>
        <w:t xml:space="preserve">3.3. Visserie</w:t>
      </w:r>
    </w:p>
    <w:p>
      <w:pPr/>
      <w:r>
        <w:rPr/>
        <w:t xml:space="preserve">Validé par le Groupe Spécialisé le 31/01/2022</w:t>
      </w:r>
    </w:p>
    <w:p>
      <w:pPr/>
      <w:r>
        <w:rPr>
          <w:b/>
          <w:bCs/>
        </w:rPr>
        <w:t xml:space="preserve">Description</w:t>
      </w:r>
    </w:p>
    <w:p>
      <w:pPr/>
      <w:r>
        <w:rPr/>
        <w:t xml:space="preserve">Décrire les fixations à utiliser pour la fixation des bacs et des accessoires, en précisant notamment :</w:t>
      </w:r>
    </w:p>
    <w:p>
      <w:pPr>
        <w:pPr/>
        <w:numPr>
          <w:ilvl w:val="0"/>
          <w:numId w:val="13"/>
        </w:numPr>
      </w:pPr>
      <w:r>
        <w:rPr/>
        <w:t xml:space="preserve">Diamètre de la vis ;</w:t>
      </w:r>
    </w:p>
    <w:p>
      <w:pPr>
        <w:pPr/>
        <w:numPr>
          <w:ilvl w:val="0"/>
          <w:numId w:val="13"/>
        </w:numPr>
      </w:pPr>
      <w:r>
        <w:rPr/>
        <w:t xml:space="preserve">Forme et diamètre de la tête de vis ;</w:t>
      </w:r>
    </w:p>
    <w:p>
      <w:pPr>
        <w:pPr/>
        <w:numPr>
          <w:ilvl w:val="0"/>
          <w:numId w:val="13"/>
        </w:numPr>
      </w:pPr>
      <w:r>
        <w:rPr/>
        <w:t xml:space="preserve">Nuance et protection contre la corrosion, notamment la protection à utiliser pour le front et/ou bord de mer si visé ;</w:t>
      </w:r>
    </w:p>
    <w:p>
      <w:pPr>
        <w:pPr/>
        <w:numPr>
          <w:ilvl w:val="0"/>
          <w:numId w:val="13"/>
        </w:numPr>
      </w:pPr>
      <w:r>
        <w:rPr/>
        <w:t xml:space="preserve">Résistance caractéristique à l'arrachement Pk selon NF P 30-310, avec précision du type de support (et de la profondeur d'ancrage pour le support bois).</w:t>
      </w:r>
    </w:p>
    <w:p>
      <w:pPr/>
      <w:r>
        <w:rPr>
          <w:b/>
          <w:bCs/>
        </w:rPr>
        <w:t xml:space="preserve">Justification</w:t>
      </w:r>
    </w:p>
    <w:p>
      <w:pPr/>
      <w:r>
        <w:rPr/>
        <w:t xml:space="preserve">Fiche technique ou rapport d'essai d'arrachement des fixations avec valeurs Pk selon NF P 30-310.</w:t>
      </w:r>
    </w:p>
    <w:p>
      <w:pPr/>
      <w:r>
        <w:rPr>
          <w:b/>
          <w:bCs/>
        </w:rPr>
        <w:t xml:space="preserve">Illustration</w:t>
      </w:r>
    </w:p>
    <w:p>
      <w:pPr/>
      <w:r>
        <w:rPr/>
        <w:t xml:space="preserve">Schéma des vis ou pointes (si vis ou pointes spécifiques au procédé).</w:t>
      </w:r>
    </w:p>
    <w:p>
      <w:pPr>
        <w:ind w:left="720" w:right="0"/>
      </w:pPr>
      <w:r>
        <w:rPr>
          <w:rStyle w:val="font_h2"/>
        </w:rPr>
        <w:t xml:space="preserve">3.4. Support de couverture</w:t>
      </w:r>
    </w:p>
    <w:p>
      <w:pPr/>
      <w:r>
        <w:rPr/>
        <w:t xml:space="preserve">Validé par le Groupe Spécialisé le 26/01/2026</w:t>
      </w:r>
    </w:p>
    <w:p>
      <w:pPr/>
      <w:r>
        <w:rPr>
          <w:b/>
          <w:bCs/>
        </w:rPr>
        <w:t xml:space="preserve">Description</w:t>
      </w:r>
    </w:p>
    <w:p>
      <w:pPr/>
      <w:r>
        <w:rPr/>
        <w:t xml:space="preserve">Description des supports de couverture visés.</w:t>
      </w:r>
    </w:p>
    <w:p>
      <w:pPr/>
      <w:r>
        <w:rPr/>
        <w:t xml:space="preserve">Donner l'épaisseur minimale des supports de couverture.</w:t>
      </w:r>
    </w:p>
    <w:p>
      <w:pPr/>
      <w:r>
        <w:rPr/>
        <w:t xml:space="preserve">Les supports de couvertures sont conformes au </w:t>
      </w:r>
      <w:r>
        <w:rPr>
          <w:i/>
          <w:iCs/>
        </w:rPr>
        <w:t xml:space="preserve">e-cahier CSTB n°3830</w:t>
      </w:r>
      <w:r>
        <w:rPr/>
        <w:t xml:space="preserve"> “Support en bois et panneaux à base de bois pour couverture en bac métallique totalement supporté sous Document Technique d'Application” de septembre 2025.</w:t>
      </w:r>
    </w:p>
    <w:p>
      <w:pPr/>
      <w:r>
        <w:rPr>
          <w:b/>
          <w:bCs/>
        </w:rPr>
        <w:t xml:space="preserve">Justification</w:t>
      </w:r>
    </w:p>
    <w:p>
      <w:pPr/>
      <w:r>
        <w:rPr/>
        <w:t xml:space="preserve">Fournir des justificatifs (références chantiers notamment) en cas de revendication des supports non compatibles au sens du NF DTU 40.41.</w:t>
      </w:r>
    </w:p>
    <w:p>
      <w:pPr>
        <w:ind w:left="720" w:right="0"/>
      </w:pPr>
      <w:r>
        <w:rPr>
          <w:rStyle w:val="font_h2"/>
        </w:rPr>
        <w:t xml:space="preserve">3.5. Ecran de séparation</w:t>
      </w:r>
    </w:p>
    <w:p>
      <w:pPr/>
      <w:r>
        <w:rPr/>
        <w:t xml:space="preserve">Validé par le Groupe Spécialisé le 31/01/2022</w:t>
      </w:r>
    </w:p>
    <w:p>
      <w:pPr/>
      <w:r>
        <w:rPr>
          <w:b/>
          <w:bCs/>
        </w:rPr>
        <w:t xml:space="preserve">Description</w:t>
      </w:r>
    </w:p>
    <w:p>
      <w:pPr/>
      <w:r>
        <w:rPr/>
        <w:t xml:space="preserve">Description de l'écran de séparation éventuel, et dans quel cas il est/peut être utilisé.</w:t>
      </w:r>
    </w:p>
    <w:p>
      <w:pPr/>
      <w:r>
        <w:rPr/>
        <w:t xml:space="preserve">Deux types d'écrans de séparation peuvent être utilisées :</w:t>
      </w:r>
    </w:p>
    <w:p>
      <w:pPr>
        <w:pPr/>
        <w:numPr>
          <w:ilvl w:val="0"/>
          <w:numId w:val="14"/>
        </w:numPr>
      </w:pPr>
      <w:r>
        <w:rPr/>
        <w:t xml:space="preserve">écran en ouate de polyester, composée à 100 % de fibres polyester, non tissé, d’épaisseur nominale 13±1 mm et demasse surfacique 110 g/m² (± 5 %) et conforme au DTU 40.44,</w:t>
      </w:r>
    </w:p>
    <w:p>
      <w:pPr>
        <w:pPr/>
        <w:numPr>
          <w:ilvl w:val="0"/>
          <w:numId w:val="14"/>
        </w:numPr>
      </w:pPr>
      <w:r>
        <w:rPr/>
        <w:t xml:space="preserve">écran de séparation sous Avis Technique ou Document Technique d'Application. Dans ce cas le document devra indiquer les prescriptions particulières à utiliser en terme de fixation et de tenue au vent du procédé de couverture avec chaque type d'écran sous ATEC/DTA revendiqué.</w:t>
      </w:r>
    </w:p>
    <w:p>
      <w:pPr/>
      <w:r>
        <w:rPr>
          <w:b/>
          <w:bCs/>
        </w:rPr>
        <w:t xml:space="preserve">Justification</w:t>
      </w:r>
    </w:p>
    <w:p>
      <w:pPr/>
      <w:r>
        <w:rPr/>
        <w:t xml:space="preserve">Fiche technique de l'écran en ouate de polyester.</w:t>
      </w:r>
    </w:p>
    <w:p>
      <w:pPr/>
      <w:r>
        <w:rPr/>
        <w:t xml:space="preserve">Justification de la résistance au vent du procédé avec l'écran de séparation sous ATEC/DTA revendiqué.</w:t>
      </w:r>
    </w:p>
    <w:p>
      <w:pPr/>
      <w:r>
        <w:rPr>
          <w:b/>
          <w:bCs/>
        </w:rPr>
        <w:t xml:space="preserve">Illustration</w:t>
      </w:r>
    </w:p>
    <w:p>
      <w:pPr/>
      <w:r>
        <w:rPr/>
        <w:t xml:space="preserve">En cas de revendication d'un écran de séparation, fournir des figures illustrant le traitement spécifiques des points singuliers avec cet écran.</w:t>
      </w:r>
    </w:p>
    <w:p>
      <w:pPr>
        <w:ind w:left="720" w:right="0"/>
      </w:pPr>
      <w:r>
        <w:rPr>
          <w:rStyle w:val="font_h2"/>
        </w:rPr>
        <w:t xml:space="preserve">3.6. Accessoires de faîtage</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rives</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3.8. Accessoires d'égout</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3.9. Accessoires divers</w:t>
      </w:r>
    </w:p>
    <w:p>
      <w:pPr/>
      <w:r>
        <w:rPr/>
        <w:t xml:space="preserve">Validé par le Groupe Spécialisé le 31/01/2022</w:t>
      </w:r>
    </w:p>
    <w:p>
      <w:pPr/>
      <w:r>
        <w:rPr>
          <w:b/>
          <w:bCs/>
        </w:rPr>
        <w:t xml:space="preserve">Description</w:t>
      </w:r>
    </w:p>
    <w:p>
      <w:pPr/>
      <w:r>
        <w:rPr/>
        <w:t xml:space="preserve">Description des autres accessoires divers éventuels (chatières, coulisseaux, étanchéité complémentaire en climat de montagne, outils spéciaux, ...).</w:t>
      </w:r>
    </w:p>
    <w:p>
      <w:pPr/>
      <w:r>
        <w:rPr>
          <w:b/>
          <w:bCs/>
        </w:rPr>
        <w:t xml:space="preserve">Illustration</w:t>
      </w:r>
    </w:p>
    <w:p>
      <w:pPr/>
      <w:r>
        <w:rPr/>
        <w:t xml:space="preserve">Fournir une figure cotée et/ou photographie de l'accessoire.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31/01/2022</w:t>
      </w:r>
    </w:p>
    <w:p>
      <w:pPr/>
      <w:r>
        <w:rPr>
          <w:b/>
          <w:bCs/>
        </w:rPr>
        <w:t xml:space="preserve">Description</w:t>
      </w:r>
    </w:p>
    <w:p>
      <w:pPr/>
      <w:r>
        <w:rPr/>
        <w:t xml:space="preserve">Décrire le principe de fabrication des bobines, des bacs, notamment s'il est possible de commander des bacs profilés en usine ou uniquement des bobines, et s'il y a un film de protection.</w:t>
      </w:r>
    </w:p>
    <w:p>
      <w:pPr/>
      <w:r>
        <w:rPr/>
        <w:t xml:space="preserve">Les différentes étapes et sites de production doivent être mentionnés si la fabrication n'a pas lieu sur un seul site (fabrication bobine mère, prélaquage, refendage, profilage, etc, ...).</w:t>
      </w:r>
    </w:p>
    <w:p>
      <w:pPr/>
      <w:r>
        <w:rPr/>
        <w:t xml:space="preserve">Préciser à minima la ville et le pays du site de fabrication.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31/01/2022</w:t>
      </w:r>
    </w:p>
    <w:p>
      <w:pPr/>
      <w:r>
        <w:rPr>
          <w:b/>
          <w:bCs/>
        </w:rPr>
        <w:t xml:space="preserve">Description</w:t>
      </w:r>
    </w:p>
    <w:p>
      <w:pPr/>
      <w:r>
        <w:rPr/>
        <w:t xml:space="preserve">Décrire les contrôles réalisés lors de la production des bobines, des bacs.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30/01/2023</w:t>
      </w:r>
    </w:p>
    <w:p>
      <w:pPr/>
      <w:r>
        <w:rPr>
          <w:b/>
          <w:bCs/>
        </w:rPr>
        <w:t xml:space="preserve">Description</w:t>
      </w:r>
    </w:p>
    <w:p>
      <w:pPr/>
      <w:r>
        <w:rPr/>
        <w:t xml:space="preserve">Décrire le principe de fabrication des principaux accessoires.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31/01/2022</w:t>
      </w:r>
    </w:p>
    <w:p>
      <w:pPr/>
      <w:r>
        <w:rPr>
          <w:b/>
          <w:bCs/>
        </w:rPr>
        <w:t xml:space="preserve">Description</w:t>
      </w:r>
    </w:p>
    <w:p>
      <w:pPr/>
      <w:r>
        <w:rPr/>
        <w:t xml:space="preserve">Décrire les contrôles réalisés lors de la production des principaux accessoires.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Dimensionnement</w:t>
      </w:r>
    </w:p>
    <w:p>
      <w:pPr/>
      <w:r>
        <w:rPr/>
        <w:t xml:space="preserve">Validé par le Groupe Spécialisé le 26/01/2026</w:t>
      </w:r>
    </w:p>
    <w:p>
      <w:pPr/>
      <w:r>
        <w:rPr>
          <w:b/>
          <w:bCs/>
        </w:rPr>
        <w:t xml:space="preserve">Description</w:t>
      </w:r>
    </w:p>
    <w:p>
      <w:pPr/>
      <w:r>
        <w:rPr/>
        <w:t xml:space="preserve">Donner une dépression admissible maximale au vent normal et extrême (selon règles NV 65 modifiées), issue d'un essai de fatigue conforme à l’Annexe C du </w:t>
      </w:r>
      <w:r>
        <w:rPr>
          <w:i/>
          <w:iCs/>
        </w:rPr>
        <w:t xml:space="preserve">e-cahier CSTB n°3830</w:t>
      </w:r>
      <w:r>
        <w:rPr/>
        <w:t xml:space="preserve"> “Support en bois et panneaux à base de bois pour couverture en bac métallique totalement supporté sous Document Technique d'Application” de septembre 2025.  </w:t>
      </w:r>
    </w:p>
    <w:p>
      <w:pPr/>
      <w:r>
        <w:rPr>
          <w:i/>
          <w:iCs/>
        </w:rPr>
        <w:t xml:space="preserve">JURISPRUDENCE (Rappel) : Lors de l’essai au vent, selon l’Annexe C du e-cahier CSTB n°3830 “Support en bois et panneaux à base de bois pour couverture en bac métallique totalement supporté sous Document Technique d'Application” de septembre 2025, d’un procédé de couverture métallique, en cas de rupture franche (ou dans la phase élastique) dans le bac ou le joint debout, le coefficient de sécurité ɣm à prendre en compte pour obtenir la valeur de dépression admissible (Wadm selon l’Annexe C du e-cahier CSTB n°3830) est de 1,7, soit un coefficient de sécurité global de 3 (1,7 x 1,75 = 3) par rapport au vent normal. Une justification par l’expérience reconnue, réussie et justifiée peut être apportée pour réduire la valeur de ɣm à 1,5 (cas des ruptures ductiles), soit un coefficient de sécurité global de 2,6 (1,5 x 1,75 = 2,6) par rapport au vent normal.</w:t>
      </w:r>
    </w:p>
    <w:p>
      <w:pPr/>
      <w:r>
        <w:rPr>
          <w:b/>
          <w:bCs/>
        </w:rPr>
        <w:t xml:space="preserve">Justification</w:t>
      </w:r>
    </w:p>
    <w:p>
      <w:pPr/>
      <w:r>
        <w:rPr/>
        <w:t xml:space="preserve">Essai de fatigue conforme à  l’Annexe C du </w:t>
      </w:r>
      <w:r>
        <w:rPr>
          <w:i/>
          <w:iCs/>
        </w:rPr>
        <w:t xml:space="preserve">e-cahier CSTB n°3830</w:t>
      </w:r>
      <w:r>
        <w:rPr/>
        <w:t xml:space="preserve"> “Support en bois et panneaux à base de bois pour couverture en bac métallique totalement supporté sous Document Technique d'Application” de septembre 2025.</w:t>
      </w:r>
    </w:p>
    <w:p>
      <w:pPr/>
      <w:r>
        <w:rPr>
          <w:b/>
          <w:bCs/>
        </w:rPr>
        <w:t xml:space="preserve">Illustration</w:t>
      </w:r>
    </w:p>
    <w:p>
      <w:pPr/>
      <w:r>
        <w:rPr/>
        <w:t xml:space="preserve">En fonction de la dépression extrême admissible (selon les règles NV 65 modifiées) obtenue par essai, fournir un tableau des hauteurs de bâtiment admises en fonction des zones et sites de vent (selon NV 65 modifiées) et hauteur de bâtiment, en prenant com</w:t>
      </w:r>
    </w:p>
    <w:p>
      <w:pPr>
        <w:ind w:left="720" w:right="0"/>
      </w:pPr>
      <w:r>
        <w:rPr>
          <w:rStyle w:val="font_h2"/>
        </w:rPr>
        <w:t xml:space="preserve">5.3. Variations dimensionnelles</w:t>
      </w:r>
    </w:p>
    <w:p>
      <w:pPr/>
      <w:r>
        <w:rPr/>
        <w:t xml:space="preserve">Validé par le Groupe Spécialisé le 31/01/2022</w:t>
      </w:r>
    </w:p>
    <w:p>
      <w:pPr/>
      <w:r>
        <w:rPr>
          <w:b/>
          <w:bCs/>
        </w:rPr>
        <w:t xml:space="preserve">Description</w:t>
      </w:r>
    </w:p>
    <w:p>
      <w:pPr/>
      <w:r>
        <w:rPr/>
        <w:t xml:space="preserve">Donner éventuellement le coefficient de dilatation thermique du bac métallique. Par défaut et par simplification sécuritaire, la dilatation sur l'ensemble de la famille est prise à 1,5 mm/m de bac métallique.</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31/01/2022</w:t>
      </w:r>
    </w:p>
    <w:p>
      <w:pPr/>
      <w:r>
        <w:rPr>
          <w:b/>
          <w:bCs/>
        </w:rPr>
        <w:t xml:space="preserve">Description</w:t>
      </w:r>
    </w:p>
    <w:p>
      <w:pPr/>
      <w:r>
        <w:rPr/>
        <w:t xml:space="preserve">Décrire les dispositions à prendre lors du transport, de la manutention, et du stockage.</w:t>
      </w:r>
    </w:p>
    <w:p>
      <w:pPr>
        <w:ind w:left="720" w:right="0"/>
      </w:pPr>
      <w:r>
        <w:rPr>
          <w:rStyle w:val="font_h2"/>
        </w:rPr>
        <w:t xml:space="preserve">6.2. Mise en oeuvre du support</w:t>
      </w:r>
    </w:p>
    <w:p>
      <w:pPr/>
      <w:r>
        <w:rPr/>
        <w:t xml:space="preserve">Validé par le Groupe Spécialisé le 26/01/2026</w:t>
      </w:r>
    </w:p>
    <w:p>
      <w:pPr/>
      <w:r>
        <w:rPr>
          <w:b/>
          <w:bCs/>
        </w:rPr>
        <w:t xml:space="preserve">Description</w:t>
      </w:r>
    </w:p>
    <w:p>
      <w:pPr/>
      <w:r>
        <w:rPr/>
        <w:t xml:space="preserve">Description de la mise en œuvre du support bois ou panneaux à base de bois, et de l'éventuel écran de séparation.</w:t>
      </w:r>
    </w:p>
    <w:p>
      <w:pPr/>
      <w:r>
        <w:rPr/>
        <w:t xml:space="preserve">La mise en oeuvre des supports sera conforme au </w:t>
      </w:r>
      <w:r>
        <w:rPr>
          <w:i/>
          <w:iCs/>
        </w:rPr>
        <w:t xml:space="preserve">e-cahier CSTB n°3830</w:t>
      </w:r>
      <w:r>
        <w:rPr/>
        <w:t xml:space="preserve"> “Support en bois et panneaux à base de bois pour couverture en bac métallique totalement supporté sous Document Technique d'Application” de septembre 2025.</w:t>
      </w:r>
    </w:p>
    <w:p>
      <w:pPr/>
      <w:r>
        <w:rPr>
          <w:b/>
          <w:bCs/>
        </w:rPr>
        <w:t xml:space="preserve">Justification</w:t>
      </w:r>
    </w:p>
    <w:p>
      <w:pPr/>
      <w:r>
        <w:rPr/>
        <w:t xml:space="preserve">Dans le cas où est revendiqué une pose sur bois ou panneaux à base de bois "non compatibles" au sens du DTU 40.41, ou dans le cas de revendication d'un écran de séparation, une liste de références chantiers détaillée mettant en avant ces emplois sera à fournir.</w:t>
      </w:r>
    </w:p>
    <w:p>
      <w:pPr>
        <w:ind w:left="720" w:right="0"/>
      </w:pPr>
      <w:r>
        <w:rPr>
          <w:rStyle w:val="font_h2"/>
        </w:rPr>
        <w:t xml:space="preserve">6.3. Soudure</w:t>
      </w:r>
    </w:p>
    <w:p>
      <w:pPr/>
      <w:r>
        <w:rPr/>
        <w:t xml:space="preserve">Validé par le Groupe Spécialisé le 31/01/2022</w:t>
      </w:r>
    </w:p>
    <w:p>
      <w:pPr/>
      <w:r>
        <w:rPr>
          <w:b/>
          <w:bCs/>
        </w:rPr>
        <w:t xml:space="preserve">Description</w:t>
      </w:r>
    </w:p>
    <w:p>
      <w:pPr/>
      <w:r>
        <w:rPr/>
        <w:t xml:space="preserve">En fonction de la nature du bac métallique, si des soudures sont possibles, décrire avec précision les prescriptions de réalisation des soudures, et éventuellement la formation requise.</w:t>
      </w:r>
    </w:p>
    <w:p>
      <w:pPr>
        <w:ind w:left="720" w:right="0"/>
      </w:pPr>
      <w:r>
        <w:rPr>
          <w:rStyle w:val="font_h2"/>
        </w:rPr>
        <w:t xml:space="preserve">6.4. Fixation et mise en oeuvre des bacs</w:t>
      </w:r>
    </w:p>
    <w:p>
      <w:pPr/>
      <w:r>
        <w:rPr/>
        <w:t xml:space="preserve">Validé par le Groupe Spécialisé le 31/01/2022</w:t>
      </w:r>
    </w:p>
    <w:p>
      <w:pPr/>
      <w:r>
        <w:rPr>
          <w:b/>
          <w:bCs/>
        </w:rPr>
        <w:t xml:space="preserve">Description</w:t>
      </w:r>
    </w:p>
    <w:p>
      <w:pPr/>
      <w:r>
        <w:rPr/>
        <w:t xml:space="preserve">Décrire la fixation et la mise en œuvre des bacs métalliques.</w:t>
      </w:r>
    </w:p>
    <w:p>
      <w:pPr/>
      <w:r>
        <w:rPr>
          <w:b/>
          <w:bCs/>
        </w:rPr>
        <w:t xml:space="preserve">Illustration</w:t>
      </w:r>
    </w:p>
    <w:p>
      <w:pPr/>
      <w:r>
        <w:rPr/>
        <w:t xml:space="preserve">Fournir des figures illustrant clairement les répartitions de fixations.</w:t>
      </w:r>
    </w:p>
    <w:p>
      <w:pPr>
        <w:ind w:left="720" w:right="0"/>
      </w:pPr>
      <w:r>
        <w:rPr>
          <w:rStyle w:val="font_h2"/>
        </w:rPr>
        <w:t xml:space="preserve">6.5. Ventilation</w:t>
      </w:r>
    </w:p>
    <w:p>
      <w:pPr/>
      <w:r>
        <w:rPr/>
        <w:t xml:space="preserve">Validé par le Groupe Spécialisé le 31/01/2022</w:t>
      </w:r>
    </w:p>
    <w:p>
      <w:pPr/>
      <w:r>
        <w:rPr>
          <w:b/>
          <w:bCs/>
        </w:rPr>
        <w:t xml:space="preserve">Description</w:t>
      </w:r>
    </w:p>
    <w:p>
      <w:pPr/>
      <w:r>
        <w:rPr/>
        <w:t xml:space="preserve">Décrire les prescriptions concernant la ventilation, notamment dans les cas de combles perdus ou avec isolation thermique en rampant.</w:t>
      </w:r>
    </w:p>
    <w:p>
      <w:pPr>
        <w:ind w:left="720" w:right="0"/>
      </w:pPr>
      <w:r>
        <w:rPr>
          <w:rStyle w:val="font_h2"/>
        </w:rPr>
        <w:t xml:space="preserve">6.6. Execution des points singuliers</w:t>
      </w:r>
    </w:p>
    <w:p>
      <w:pPr/>
      <w:r>
        <w:rPr/>
        <w:t xml:space="preserve">Validé par le Groupe Spécialisé le 10/06/2024</w:t>
      </w:r>
    </w:p>
    <w:p>
      <w:pPr/>
      <w:r>
        <w:rPr>
          <w:b/>
          <w:bCs/>
        </w:rPr>
        <w:t xml:space="preserve">Description</w:t>
      </w:r>
    </w:p>
    <w:p>
      <w:pPr/>
      <w:r>
        <w:rPr/>
        <w:t xml:space="preserve">Décrire la réalisation de tous les points singuliers de couverture, notamment :</w:t>
      </w:r>
    </w:p>
    <w:p>
      <w:pPr>
        <w:pPr/>
        <w:numPr>
          <w:ilvl w:val="0"/>
          <w:numId w:val="15"/>
        </w:numPr>
      </w:pPr>
      <w:r>
        <w:rPr/>
        <w:t xml:space="preserve">Faîtage ;</w:t>
      </w:r>
    </w:p>
    <w:p>
      <w:pPr>
        <w:pPr/>
        <w:numPr>
          <w:ilvl w:val="0"/>
          <w:numId w:val="15"/>
        </w:numPr>
      </w:pPr>
      <w:r>
        <w:rPr/>
        <w:t xml:space="preserve">Rives ;</w:t>
      </w:r>
    </w:p>
    <w:p>
      <w:pPr>
        <w:pPr/>
        <w:numPr>
          <w:ilvl w:val="0"/>
          <w:numId w:val="15"/>
        </w:numPr>
      </w:pPr>
      <w:r>
        <w:rPr/>
        <w:t xml:space="preserve">Egout ;</w:t>
      </w:r>
    </w:p>
    <w:p>
      <w:pPr>
        <w:pPr/>
        <w:numPr>
          <w:ilvl w:val="0"/>
          <w:numId w:val="15"/>
        </w:numPr>
      </w:pPr>
      <w:r>
        <w:rPr/>
        <w:t xml:space="preserve">Noues ;</w:t>
      </w:r>
    </w:p>
    <w:p>
      <w:pPr>
        <w:pPr/>
        <w:numPr>
          <w:ilvl w:val="0"/>
          <w:numId w:val="15"/>
        </w:numPr>
      </w:pPr>
      <w:r>
        <w:rPr/>
        <w:t xml:space="preserve">Chéneau ;</w:t>
      </w:r>
    </w:p>
    <w:p>
      <w:pPr>
        <w:pPr/>
        <w:numPr>
          <w:ilvl w:val="0"/>
          <w:numId w:val="15"/>
        </w:numPr>
      </w:pPr>
      <w:r>
        <w:rPr/>
        <w:t xml:space="preserve">Pénétrations continues ;</w:t>
      </w:r>
    </w:p>
    <w:p>
      <w:pPr>
        <w:pPr/>
        <w:numPr>
          <w:ilvl w:val="0"/>
          <w:numId w:val="15"/>
        </w:numPr>
      </w:pPr>
      <w:r>
        <w:rPr/>
        <w:t xml:space="preserve">Pénétrations discontinues ;</w:t>
      </w:r>
    </w:p>
    <w:p>
      <w:pPr>
        <w:pPr/>
        <w:numPr>
          <w:ilvl w:val="0"/>
          <w:numId w:val="15"/>
        </w:numPr>
      </w:pPr>
      <w:r>
        <w:rPr/>
        <w:t xml:space="preserve">etc..</w:t>
      </w:r>
    </w:p>
    <w:p>
      <w:pPr/>
      <w:r>
        <w:rPr>
          <w:b/>
          <w:bCs/>
          <w:i/>
          <w:iCs/>
        </w:rPr>
        <w:t xml:space="preserve">JURISPRUDENCE : Les pénétrations ponctuelles en manchon d’étanchéité type plaques à douilles conformes au DTU 40.35, doivent respecter les prescriptions de pentes du DTU 40.35.</w:t>
      </w:r>
    </w:p>
    <w:p>
      <w:pPr/>
      <w:r>
        <w:rPr>
          <w:b/>
          <w:bCs/>
        </w:rPr>
        <w:t xml:space="preserve">Illustration</w:t>
      </w:r>
    </w:p>
    <w:p>
      <w:pPr/>
      <w:r>
        <w:rPr/>
        <w:t xml:space="preserve">Fournir des figures descriptives pour chaque point singulier.</w:t>
      </w:r>
    </w:p>
    <w:p>
      <w:pPr/>
      <w:r>
        <w:rPr>
          <w:rStyle w:val="font_h1"/>
        </w:rPr>
        <w:t xml:space="preserve">7. Mise en œuvre particulière éventuelle en DROM ou climat de montagne</w:t>
      </w:r>
    </w:p>
    <w:p>
      <w:pPr/>
      <w:r>
        <w:rPr/>
        <w:t xml:space="preserve">Validé par le Groupe Spécialisé le 31/01/2022</w:t>
      </w:r>
    </w:p>
    <w:p>
      <w:pPr/>
      <w:r>
        <w:rPr>
          <w:b/>
          <w:bCs/>
        </w:rPr>
        <w:t xml:space="preserve">Description</w:t>
      </w:r>
    </w:p>
    <w:p>
      <w:pPr/>
      <w:r>
        <w:rPr/>
        <w:t xml:space="preserve">En cas de revendication en DROM ou climat de montagne, décrire dans un paraphe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6"/>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6"/>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7"/>
        </w:numPr>
      </w:pPr>
      <w:r>
        <w:rPr/>
        <w:t xml:space="preserve">Martinique / Guadeloupe / Guyane.</w:t>
      </w:r>
    </w:p>
    <w:p>
      <w:pPr>
        <w:pPr/>
        <w:numPr>
          <w:ilvl w:val="0"/>
          <w:numId w:val="17"/>
        </w:numPr>
      </w:pPr>
      <w:r>
        <w:rPr/>
        <w:t xml:space="preserve">La Réunion / Mayotte.</w:t>
      </w:r>
    </w:p>
    <w:p>
      <w:pPr/>
      <w:r>
        <w:rPr>
          <w:b/>
          <w:bCs/>
        </w:rPr>
        <w:t xml:space="preserve">Climat de montagne :</w:t>
      </w:r>
    </w:p>
    <w:p>
      <w:pPr>
        <w:pPr/>
        <w:numPr>
          <w:ilvl w:val="0"/>
          <w:numId w:val="18"/>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8"/>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31/01/2022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31/01/2022</w:t>
      </w:r>
    </w:p>
    <w:p>
      <w:pPr/>
      <w:r>
        <w:rPr>
          <w:b/>
          <w:bCs/>
        </w:rPr>
        <w:t xml:space="preserve">Description</w:t>
      </w:r>
    </w:p>
    <w:p>
      <w:pPr/>
      <w:r>
        <w:rPr/>
        <w:t xml:space="preserve">Décrire l'entretien de la couverture.</w:t>
      </w:r>
    </w:p>
    <w:p>
      <w:pPr/>
      <w:r>
        <w:rPr/>
        <w:t xml:space="preserve">Indiquer combien de fois il est possible de dessertir et ressertir un bac.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D64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E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79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84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0B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997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675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AEF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48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EA9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2026-03-13T23:22:00+01:00</dcterms:created>
  <dcterms:modified xsi:type="dcterms:W3CDTF">2026-03-13T23:22:00+01:00</dcterms:modified>
</cp:coreProperties>
</file>

<file path=docProps/custom.xml><?xml version="1.0" encoding="utf-8"?>
<Properties xmlns="http://schemas.openxmlformats.org/officeDocument/2006/custom-properties" xmlns:vt="http://schemas.openxmlformats.org/officeDocument/2006/docPropsVTypes"/>
</file>