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08/02/2026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couverture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(couverture),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couverture couverts par les recommandations professionnelles "Couvertures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06/03/2018</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720" w:right="0"/>
      </w:pPr>
      <w:r>
        <w:rPr>
          <w:rStyle w:val="font_h2"/>
        </w:rPr>
        <w:t xml:space="preserve">3.5. Rédaction du paragraphe réaction a ufeu</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 mise en œuvre, coté, sur chaque type de charpente support</w:t>
      </w:r>
    </w:p>
    <w:p>
      <w:pPr/>
      <w:r>
        <w:rPr/>
        <w:t xml:space="preserve">-Schéma illustrant les pénétrations</w:t>
      </w:r>
    </w:p>
    <w:p>
      <w:pPr/>
      <w:r>
        <w:rPr/>
        <w:t xml:space="preserve">-Schéma illustrant le traitement de la jonction transversale, en indiquant les largeurs minimales d'appuis (appui intermédiaire et d'extrémité)</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pPr/>
        <w:numPr>
          <w:ilvl w:val="0"/>
          <w:numId w:val="14"/>
        </w:numPr>
      </w:pPr>
      <w:r>
        <w:rPr/>
        <w:t xml:space="preserve">Schéma illustrant le traitement de chaque point singulier (rives, faîtages, égouts, mise en œuvre d'un chevêtre...)</w:t>
      </w:r>
    </w:p>
    <w:p>
      <w:pPr>
        <w:ind w:left="720" w:right="0"/>
      </w:pPr>
      <w:r>
        <w:rPr>
          <w:rStyle w:val="font_h2"/>
        </w:rPr>
        <w:t xml:space="preserve">7.5. Entretien/nettoyage</w:t>
      </w:r>
    </w:p>
    <w:p>
      <w:pPr/>
      <w:r>
        <w:rPr/>
        <w:t xml:space="preserve">Validé par le Groupe Spécialisé le 06/03/2018</w:t>
      </w:r>
    </w:p>
    <w:p>
      <w:pPr/>
      <w:r>
        <w:rPr>
          <w:b/>
          <w:bCs/>
        </w:rPr>
        <w:t xml:space="preserve">Description</w:t>
      </w:r>
    </w:p>
    <w:p>
      <w:pPr/>
      <w:r>
        <w:rPr/>
        <w:t xml:space="preserve">Préciser les consignes.</w:t>
      </w:r>
    </w:p>
    <w:p>
      <w:pPr/>
      <w:r>
        <w:rPr>
          <w:rStyle w:val="font_h1"/>
        </w:rPr>
        <w:t xml:space="preserve">8. Annexe</w:t>
      </w:r>
    </w:p>
    <w:p>
      <w:pPr>
        <w:ind w:left="720" w:right="0"/>
      </w:pPr>
      <w:r>
        <w:rPr>
          <w:rStyle w:val="font_h2"/>
        </w:rPr>
        <w:t xml:space="preserve">8.1. Dossier graphique</w:t>
      </w:r>
    </w:p>
    <w:p>
      <w:pPr/>
      <w:r>
        <w:rPr/>
        <w:t xml:space="preserve">Validé par le Groupe Spécialisé le 13/10/2020</w:t>
      </w:r>
    </w:p>
    <w:p>
      <w:pPr/>
      <w:r>
        <w:rPr>
          <w:b/>
          <w:bCs/>
        </w:rPr>
        <w:t xml:space="preserve">Description</w:t>
      </w:r>
    </w:p>
    <w:p>
      <w:pPr/>
      <w:r>
        <w:rPr/>
        <w:t xml:space="preserve">Pour les ouvrages particuliers de couvertures :Préciser que les chéneaux, représentés dans le Dossier Graphique, ne sont pas visés dans les Documents Techniques d’Application des procédés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D11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E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B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50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BB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9E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2026-02-08T04:13:20+01:00</dcterms:created>
  <dcterms:modified xsi:type="dcterms:W3CDTF">2026-02-08T04:13:20+01:00</dcterms:modified>
</cp:coreProperties>
</file>

<file path=docProps/custom.xml><?xml version="1.0" encoding="utf-8"?>
<Properties xmlns="http://schemas.openxmlformats.org/officeDocument/2006/custom-properties" xmlns:vt="http://schemas.openxmlformats.org/officeDocument/2006/docPropsVTypes"/>
</file>