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2.3 - Édité le 02/05/2026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2.3 « Procédés d’enveloppe à base de panneaux sandwich »</w:t>
      </w:r>
    </w:p>
    <w:p>
      <w:pPr/>
      <w:r>
        <w:rPr>
          <w:rStyle w:val="font_default"/>
        </w:rPr>
        <w:t xml:space="preserve">Famille de produits ou procédés : </w:t>
      </w:r>
      <w:r>
        <w:rPr>
          <w:rStyle w:val="font_h3"/>
        </w:rPr>
        <w:t xml:space="preserve">Panneau sandwich métallique en couverture</w:t>
      </w:r>
    </w:p>
    <w:p>
      <w:pPr/>
      <w:r>
        <w:rPr>
          <w:rStyle w:val="font_h1"/>
        </w:rPr>
        <w:t xml:space="preserve">1. Domaine d'emploi</w:t>
      </w:r>
    </w:p>
    <w:p>
      <w:pPr/>
      <w:r>
        <w:rPr/>
        <w:t xml:space="preserve">Validé par le Groupe Spécialisé le 06/03/2018</w:t>
      </w:r>
    </w:p>
    <w:p>
      <w:pPr/>
      <w:r>
        <w:rPr>
          <w:b/>
          <w:bCs/>
        </w:rPr>
        <w:t xml:space="preserve">Description</w:t>
      </w:r>
    </w:p>
    <w:p>
      <w:pPr/>
      <w:r>
        <w:rPr/>
        <w:t xml:space="preserve">Définition du domaine d’emploi visé (type d’emploi (couverture), type de charpente (bois, métal, béton avec insert métallique) sens de pose du panneau sandwich (horizontal/vertical), type de bâtiments (bâtiments industriels et agricoles, ERP, locaux du travail), hygrométrie et pression partielle de vapeur d’eau, températures visées, ambiances intérieures visées selon DTU 45.1, atmosphères extérieures visées selon DTU 40.35).</w:t>
      </w:r>
    </w:p>
    <w:p>
      <w:pPr/>
      <w:r>
        <w:rPr/>
        <w:t xml:space="preserve">Nota : Ne sont pas concernés, les procédés de panneaux sandwich métallique en couverture couverts par les recommandations professionnelles "Couvertures en panneaux sandwich à deux parements en acier et à âme polyuréthane », issues du programme RAGE.</w:t>
      </w:r>
    </w:p>
    <w:p>
      <w:pPr/>
      <w:r>
        <w:rPr>
          <w:b/>
          <w:bCs/>
        </w:rPr>
        <w:t xml:space="preserve">Justification</w:t>
      </w:r>
    </w:p>
    <w:p>
      <w:pPr/>
      <w:r>
        <w:rPr/>
        <w:t xml:space="preserve">Liste des références de chantier:</w:t>
      </w:r>
    </w:p>
    <w:p>
      <w:pPr>
        <w:pPr/>
        <w:numPr>
          <w:ilvl w:val="0"/>
          <w:numId w:val="9"/>
        </w:numPr>
      </w:pPr>
      <w:r>
        <w:rPr/>
        <w:t xml:space="preserve">Référence chantier, adresse du chantier, année de réalisation, type de bâtiment, la surface,</w:t>
      </w:r>
    </w:p>
    <w:p>
      <w:pPr>
        <w:pPr/>
        <w:numPr>
          <w:ilvl w:val="0"/>
          <w:numId w:val="9"/>
        </w:numPr>
      </w:pPr>
      <w:r>
        <w:rPr/>
        <w:t xml:space="preserve">l’épaisseur du panneau,</w:t>
      </w:r>
    </w:p>
    <w:p>
      <w:pPr>
        <w:pPr/>
        <w:numPr>
          <w:ilvl w:val="0"/>
          <w:numId w:val="9"/>
        </w:numPr>
      </w:pPr>
      <w:r>
        <w:rPr/>
        <w:t xml:space="preserve">Coordonnées du poseur (n°, voie, code postal, ville, n° de téléphone), Coordonnées du maitre d’ouvrage (n°, voie, code postal, ville, n° de téléphone), Coordonnées du contrôleur technique (n°, voie, code postal, ville, n° de téléphone).</w:t>
      </w:r>
    </w:p>
    <w:p>
      <w:pPr>
        <w:pPr/>
        <w:numPr>
          <w:ilvl w:val="0"/>
          <w:numId w:val="9"/>
        </w:numPr>
      </w:pPr>
      <w:r>
        <w:rPr/>
        <w:t xml:space="preserve">Année de mise sur le marché français et nombre de m2 réalisés depuis cette date pour les produits envisagés et mis en œuvre conformément au dossier technique fourni.</w:t>
      </w:r>
    </w:p>
    <w:p>
      <w:pPr/>
      <w:r>
        <w:rPr>
          <w:rStyle w:val="font_h1"/>
        </w:rPr>
        <w:t xml:space="preserve">2. Matériaux composants</w:t>
      </w:r>
    </w:p>
    <w:p>
      <w:pPr>
        <w:ind w:left="720" w:right="0"/>
      </w:pPr>
      <w:r>
        <w:rPr>
          <w:rStyle w:val="font_h2"/>
        </w:rPr>
        <w:t xml:space="preserve">2.1. Parement</w:t>
      </w:r>
    </w:p>
    <w:p>
      <w:pPr/>
      <w:r>
        <w:rPr/>
        <w:t xml:space="preserve">Validé par le Groupe Spécialisé le 06/03/2018</w:t>
      </w:r>
    </w:p>
    <w:p>
      <w:pPr/>
      <w:r>
        <w:rPr>
          <w:b/>
          <w:bCs/>
        </w:rPr>
        <w:t xml:space="preserve">Description</w:t>
      </w:r>
    </w:p>
    <w:p>
      <w:pPr/>
      <w:r>
        <w:rPr/>
        <w:t xml:space="preserve">Indiquer les épaisseurs possibles pour les parements.</w:t>
      </w:r>
    </w:p>
    <w:p>
      <w:pPr/>
      <w:r>
        <w:rPr/>
        <w:t xml:space="preserve">Préciser la nuance d'acier et préciser le type et l'épaisseur de revêtement métallique (selon NF EN 10346 ou autres).</w:t>
      </w:r>
    </w:p>
    <w:p>
      <w:pPr/>
      <w:r>
        <w:rPr/>
        <w:t xml:space="preserve">Préciser les éventuels revêtements organiques associés et fournir leur fiche technique indiquant leur performance selon la NF EN 10169, et leur catégorie selon XP P 34-301.</w:t>
      </w:r>
    </w:p>
    <w:p>
      <w:pPr/>
      <w:r>
        <w:rPr>
          <w:b/>
          <w:bCs/>
        </w:rPr>
        <w:t xml:space="preserve">Justification</w:t>
      </w:r>
    </w:p>
    <w:p>
      <w:pPr/>
      <w:r>
        <w:rPr/>
        <w:t xml:space="preserve">Fournir 2 tableaux donnant le guide de choix des différents revêtements en fonction des atmosphères extérieures et ambiances intérieures.</w:t>
      </w:r>
    </w:p>
    <w:p>
      <w:pPr>
        <w:ind w:left="720" w:right="0"/>
      </w:pPr>
      <w:r>
        <w:rPr>
          <w:rStyle w:val="font_h2"/>
        </w:rPr>
        <w:t xml:space="preserve">2.2. Ame isolante</w:t>
      </w:r>
    </w:p>
    <w:p>
      <w:pPr>
        <w:ind w:left="1440" w:right="0"/>
      </w:pPr>
      <w:r>
        <w:rPr>
          <w:rStyle w:val="font_h3"/>
        </w:rPr>
        <w:t xml:space="preserve">2.2.1. Généralités</w:t>
      </w:r>
    </w:p>
    <w:p>
      <w:pPr/>
      <w:r>
        <w:rPr/>
        <w:t xml:space="preserve">Validé par le Groupe Spécialisé le 06/03/2018</w:t>
      </w:r>
    </w:p>
    <w:p>
      <w:pPr/>
      <w:r>
        <w:rPr>
          <w:b/>
          <w:bCs/>
        </w:rPr>
        <w:t xml:space="preserve">Description</w:t>
      </w:r>
    </w:p>
    <w:p>
      <w:pPr/>
      <w:r>
        <w:rPr/>
        <w:t xml:space="preserve">Préciser la densité en (kg/m3) et les spécifications minimales des autocontrôles de fabrication (traction, compression, cisaillement). Préciser la conductivité thermique de l’isolant à prendre en compte.</w:t>
      </w:r>
    </w:p>
    <w:p>
      <w:pPr/>
      <w:r>
        <w:rPr>
          <w:b/>
          <w:bCs/>
        </w:rPr>
        <w:t xml:space="preserve">Justification</w:t>
      </w:r>
    </w:p>
    <w:p>
      <w:pPr>
        <w:pPr/>
        <w:numPr>
          <w:ilvl w:val="0"/>
          <w:numId w:val="10"/>
        </w:numPr>
      </w:pPr>
      <w:r>
        <w:rPr/>
        <w:t xml:space="preserve">Fournir le cas échéant le certificat ACERMI tremplin</w:t>
      </w:r>
    </w:p>
    <w:p>
      <w:pPr>
        <w:pPr/>
        <w:numPr>
          <w:ilvl w:val="0"/>
          <w:numId w:val="10"/>
        </w:numPr>
      </w:pPr>
      <w:r>
        <w:rPr/>
        <w:t xml:space="preserve">Autocontrôles de fabrication</w:t>
      </w:r>
    </w:p>
    <w:p>
      <w:pPr>
        <w:pPr/>
        <w:numPr>
          <w:ilvl w:val="0"/>
          <w:numId w:val="10"/>
        </w:numPr>
      </w:pPr>
      <w:r>
        <w:rPr/>
        <w:t xml:space="preserve">Essai de caractérisation de l'isolant (si pas disponible dans le cadre du marquage CE): masse volumique, traction, compression, cisaillement.</w:t>
      </w:r>
    </w:p>
    <w:p>
      <w:pPr>
        <w:ind w:left="1440" w:right="0"/>
      </w:pPr>
      <w:r>
        <w:rPr>
          <w:rStyle w:val="font_h3"/>
        </w:rPr>
        <w:t xml:space="preserve">2.2.2. Cas des âmes en polyuréthane ou polyisocyanurate expansée en usine</w:t>
      </w:r>
    </w:p>
    <w:p>
      <w:pPr/>
      <w:r>
        <w:rPr/>
        <w:t xml:space="preserve">Validé par le Groupe Spécialisé le 06/03/2018</w:t>
      </w:r>
    </w:p>
    <w:p>
      <w:pPr/>
      <w:r>
        <w:rPr>
          <w:b/>
          <w:bCs/>
        </w:rPr>
        <w:t xml:space="preserve">Description</w:t>
      </w:r>
    </w:p>
    <w:p>
      <w:pPr/>
      <w:r>
        <w:rPr/>
        <w:t xml:space="preserve">Liste des composants.</w:t>
      </w:r>
    </w:p>
    <w:p>
      <w:pPr/>
      <w:r>
        <w:rPr>
          <w:b/>
          <w:bCs/>
        </w:rPr>
        <w:t xml:space="preserve">Justification</w:t>
      </w:r>
    </w:p>
    <w:p>
      <w:pPr/>
      <w:r>
        <w:rPr/>
        <w:t xml:space="preserve">Fournir la liste des composants sous la forme de la Fiche d’identification de la mousse confidentielle et le code de formulation.</w:t>
      </w:r>
    </w:p>
    <w:p>
      <w:pPr>
        <w:ind w:left="1440" w:right="0"/>
      </w:pPr>
      <w:r>
        <w:rPr>
          <w:rStyle w:val="font_h3"/>
        </w:rPr>
        <w:t xml:space="preserve">2.2.3. Cas des âmes en laine de roche</w:t>
      </w:r>
    </w:p>
    <w:p>
      <w:pPr/>
      <w:r>
        <w:rPr/>
        <w:t xml:space="preserve">Validé par le Groupe Spécialisé le 06/03/2018</w:t>
      </w:r>
    </w:p>
    <w:p>
      <w:pPr/>
      <w:r>
        <w:rPr>
          <w:b/>
          <w:bCs/>
        </w:rPr>
        <w:t xml:space="preserve">Description</w:t>
      </w:r>
    </w:p>
    <w:p>
      <w:pPr/>
      <w:r>
        <w:rPr/>
        <w:t xml:space="preserve">Fiche technique.Les références de la laine peuvent être fournies sous forme confidentielle.</w:t>
      </w:r>
    </w:p>
    <w:p>
      <w:pPr/>
      <w:r>
        <w:rPr>
          <w:b/>
          <w:bCs/>
        </w:rPr>
        <w:t xml:space="preserve">Justification</w:t>
      </w:r>
    </w:p>
    <w:p>
      <w:pPr/>
      <w:r>
        <w:rPr/>
        <w:t xml:space="preserve">Fournir la fiche technique. Fournir la déclaration de marquage CE ou certificat de marquage CE de la plaque.</w:t>
      </w:r>
    </w:p>
    <w:p>
      <w:pPr>
        <w:ind w:left="720" w:right="0"/>
      </w:pPr>
      <w:r>
        <w:rPr>
          <w:rStyle w:val="font_h2"/>
        </w:rPr>
        <w:t xml:space="preserve">2.3. Colle</w:t>
      </w:r>
    </w:p>
    <w:p>
      <w:pPr/>
      <w:r>
        <w:rPr/>
        <w:t xml:space="preserve">Validé par le Groupe Spécialisé le 06/03/2018</w:t>
      </w:r>
    </w:p>
    <w:p>
      <w:pPr/>
      <w:r>
        <w:rPr>
          <w:b/>
          <w:bCs/>
        </w:rPr>
        <w:t xml:space="preserve">Description</w:t>
      </w:r>
    </w:p>
    <w:p>
      <w:pPr/>
      <w:r>
        <w:rPr/>
        <w:t xml:space="preserve">Préciser la référence de la colle utilisée et le grammage.Les références de la colle peuvent être fournies sous forme confidentielle.</w:t>
      </w:r>
    </w:p>
    <w:p>
      <w:pPr>
        <w:ind w:left="720" w:right="0"/>
      </w:pPr>
      <w:r>
        <w:rPr>
          <w:rStyle w:val="font_h2"/>
        </w:rPr>
        <w:t xml:space="preserve">2.4. Garnitures d'étanchéité</w:t>
      </w:r>
    </w:p>
    <w:p>
      <w:pPr/>
      <w:r>
        <w:rPr/>
        <w:t xml:space="preserve">Validé par le Groupe Spécialisé le 06/03/2018</w:t>
      </w:r>
    </w:p>
    <w:p>
      <w:pPr/>
      <w:r>
        <w:rPr>
          <w:b/>
          <w:bCs/>
        </w:rPr>
        <w:t xml:space="preserve">Description</w:t>
      </w:r>
    </w:p>
    <w:p>
      <w:pPr/>
      <w:r>
        <w:rPr/>
        <w:t xml:space="preserve">Préciser les références commerciales des produits utilisés (mastic silicone, butyl, autres…).</w:t>
      </w:r>
    </w:p>
    <w:p>
      <w:pPr>
        <w:ind w:left="720" w:right="0"/>
      </w:pPr>
      <w:r>
        <w:rPr>
          <w:rStyle w:val="font_h2"/>
        </w:rPr>
        <w:t xml:space="preserve">2.5. Systèmes de fixations</w:t>
      </w:r>
    </w:p>
    <w:p>
      <w:pPr/>
      <w:r>
        <w:rPr/>
        <w:t xml:space="preserve">Validé par le Groupe Spécialisé le 06/03/2018</w:t>
      </w:r>
    </w:p>
    <w:p>
      <w:pPr/>
      <w:r>
        <w:rPr>
          <w:b/>
          <w:bCs/>
        </w:rPr>
        <w:t xml:space="preserve">Description</w:t>
      </w:r>
    </w:p>
    <w:p>
      <w:pPr/>
      <w:r>
        <w:rPr/>
        <w:t xml:space="preserve">Décrire le système de fixation: traversante visible ou invisible.</w:t>
      </w:r>
    </w:p>
    <w:p>
      <w:pPr>
        <w:ind w:left="720" w:right="0"/>
      </w:pPr>
      <w:r>
        <w:rPr>
          <w:rStyle w:val="font_h2"/>
        </w:rPr>
        <w:t xml:space="preserve">2.6. Fixations</w:t>
      </w:r>
    </w:p>
    <w:p>
      <w:pPr/>
      <w:r>
        <w:rPr/>
        <w:t xml:space="preserve">Validé par le Groupe Spécialisé le 06/03/2018</w:t>
      </w:r>
    </w:p>
    <w:p>
      <w:pPr/>
      <w:r>
        <w:rPr>
          <w:b/>
          <w:bCs/>
        </w:rPr>
        <w:t xml:space="preserve">Description</w:t>
      </w:r>
    </w:p>
    <w:p>
      <w:pPr/>
      <w:r>
        <w:rPr/>
        <w:t xml:space="preserve">Préciser les fixations utilisées: nature, type de protection contre la corrosion</w:t>
      </w:r>
    </w:p>
    <w:p>
      <w:pPr/>
      <w:r>
        <w:rPr>
          <w:b/>
          <w:bCs/>
        </w:rPr>
        <w:t xml:space="preserve">Justification</w:t>
      </w:r>
    </w:p>
    <w:p>
      <w:pPr/>
      <w:r>
        <w:rPr/>
        <w:t xml:space="preserve">Conformité au DTU 40.35 pour l'adaptation aux différentes atmosphères extérieures et au NF DTU 43.3 P1-2 pour l'adaptation aux ambiances intérieures.</w:t>
      </w:r>
    </w:p>
    <w:p>
      <w:pPr>
        <w:ind w:left="720" w:right="0"/>
      </w:pPr>
      <w:r>
        <w:rPr>
          <w:rStyle w:val="font_h2"/>
        </w:rPr>
        <w:t xml:space="preserve">2.7. Accessoires d'habillage</w:t>
      </w:r>
    </w:p>
    <w:p>
      <w:pPr/>
      <w:r>
        <w:rPr/>
        <w:t xml:space="preserve">Validé par le Groupe Spécialisé le 06/03/2018</w:t>
      </w:r>
    </w:p>
    <w:p>
      <w:pPr/>
      <w:r>
        <w:rPr>
          <w:b/>
          <w:bCs/>
        </w:rPr>
        <w:t xml:space="preserve">Description</w:t>
      </w:r>
    </w:p>
    <w:p>
      <w:pPr/>
      <w:r>
        <w:rPr/>
        <w:t xml:space="preserve">Fournir la liste des différents éléments utilisés et préciser leur nature.</w:t>
      </w:r>
    </w:p>
    <w:p>
      <w:pPr/>
      <w:r>
        <w:rPr>
          <w:rStyle w:val="font_h1"/>
        </w:rPr>
        <w:t xml:space="preserve">3. Caractéristiques des panneaux</w:t>
      </w:r>
    </w:p>
    <w:p>
      <w:pPr>
        <w:ind w:left="720" w:right="0"/>
      </w:pPr>
      <w:r>
        <w:rPr>
          <w:rStyle w:val="font_h2"/>
        </w:rPr>
        <w:t xml:space="preserve">3.1. Description</w:t>
      </w:r>
    </w:p>
    <w:p>
      <w:pPr/>
      <w:r>
        <w:rPr/>
        <w:t xml:space="preserve">Validé par le Groupe Spécialisé le 06/03/2018</w:t>
      </w:r>
    </w:p>
    <w:p>
      <w:pPr/>
      <w:r>
        <w:rPr>
          <w:b/>
          <w:bCs/>
        </w:rPr>
        <w:t xml:space="preserve">Description</w:t>
      </w:r>
    </w:p>
    <w:p>
      <w:pPr/>
      <w:r>
        <w:rPr/>
        <w:t xml:space="preserve">Préciser longueur maximale, largeur utile, différentes épaisseurs, géométrie des parements, description de l’emboitement.</w:t>
      </w:r>
    </w:p>
    <w:p>
      <w:pPr/>
      <w:r>
        <w:rPr/>
        <w:t xml:space="preserve">Fournir un tableau donnant la masse surfacique du panneau en fonction de l’épaisseur d’isolant et de celle des parements.</w:t>
      </w:r>
    </w:p>
    <w:p>
      <w:pPr>
        <w:ind w:left="720" w:right="0"/>
      </w:pPr>
      <w:r>
        <w:rPr>
          <w:rStyle w:val="font_h2"/>
        </w:rPr>
        <w:t xml:space="preserve">3.2. Essais de caractérisation</w:t>
      </w:r>
    </w:p>
    <w:p>
      <w:pPr/>
      <w:r>
        <w:rPr/>
        <w:t xml:space="preserve">Validé par le Groupe Spécialisé le 06/03/2018</w:t>
      </w:r>
    </w:p>
    <w:p>
      <w:pPr/>
      <w:r>
        <w:rPr>
          <w:b/>
          <w:bCs/>
        </w:rPr>
        <w:t xml:space="preserve">Description</w:t>
      </w:r>
    </w:p>
    <w:p>
      <w:pPr/>
      <w:r>
        <w:rPr/>
        <w:t xml:space="preserve">Essais de caractérisation, prérequis pour l'élaboration des tables de charges/portées.</w:t>
      </w:r>
    </w:p>
    <w:p>
      <w:pPr/>
      <w:r>
        <w:rPr>
          <w:b/>
          <w:bCs/>
        </w:rPr>
        <w:t xml:space="preserve">Justification</w:t>
      </w:r>
    </w:p>
    <w:p>
      <w:pPr/>
      <w:r>
        <w:rPr/>
        <w:t xml:space="preserve">Rapport d'essai de durabilité réalisé ou supervisé par un organisme tiers:</w:t>
      </w:r>
    </w:p>
    <w:p>
      <w:pPr>
        <w:pPr/>
        <w:numPr>
          <w:ilvl w:val="0"/>
          <w:numId w:val="11"/>
        </w:numPr>
      </w:pPr>
      <w:r>
        <w:rPr/>
        <w:t xml:space="preserve">DUR2 selon l'annexe B3 de la norme NF EN 14509 pour les panneaux en laine de roche</w:t>
      </w:r>
    </w:p>
    <w:p>
      <w:pPr>
        <w:pPr/>
        <w:numPr>
          <w:ilvl w:val="0"/>
          <w:numId w:val="11"/>
        </w:numPr>
      </w:pPr>
      <w:r>
        <w:rPr/>
        <w:t xml:space="preserve">DUR1 selon l'annexe B2 de la norme NF EN 14509, pour les panneaux en mousse polyuréthane fabriqués en utilisant les agents d'expansion non couverts par la NF EN 13165.</w:t>
      </w:r>
    </w:p>
    <w:p>
      <w:pPr/>
      <w:r>
        <w:rPr/>
        <w:t xml:space="preserve">-Essai d'insolation choc thermique réalisé ou supervisé par un organisme tiers selon l'annexe B7 de la norme NF EN 14509 (panneau en polyuréthane ou polyisocyanurate si expansé par un gaz autre que pentane et panneau en laine de roche à fixations invisibles).</w:t>
      </w:r>
    </w:p>
    <w:p>
      <w:pPr/>
      <w:r>
        <w:rPr/>
        <w:t xml:space="preserve">-Essai de fatigue réalisé ou supervisé par un organisme tiers conformément à l'annexe B du cahier CSTB 3731 (pour les panneaux sandwich à fixations visibles).</w:t>
      </w:r>
    </w:p>
    <w:p>
      <w:pPr>
        <w:ind w:left="720" w:right="0"/>
      </w:pPr>
      <w:r>
        <w:rPr>
          <w:rStyle w:val="font_h2"/>
        </w:rPr>
        <w:t xml:space="preserve">3.3. Thermique</w:t>
      </w:r>
    </w:p>
    <w:p>
      <w:pPr/>
      <w:r>
        <w:rPr/>
        <w:t xml:space="preserve">Validé par le Groupe Spécialisé le 06/03/2018</w:t>
      </w:r>
    </w:p>
    <w:p>
      <w:pPr/>
      <w:r>
        <w:rPr>
          <w:b/>
          <w:bCs/>
        </w:rPr>
        <w:t xml:space="preserve">Description</w:t>
      </w:r>
    </w:p>
    <w:p>
      <w:pPr/>
      <w:r>
        <w:rPr/>
        <w:t xml:space="preserve">Conformité à la réglementation thermique en vigueur</w:t>
      </w:r>
    </w:p>
    <w:p>
      <w:pPr/>
      <w:r>
        <w:rPr>
          <w:b/>
          <w:bCs/>
        </w:rPr>
        <w:t xml:space="preserve">Justification</w:t>
      </w:r>
    </w:p>
    <w:p>
      <w:pPr/>
      <w:r>
        <w:rPr/>
        <w:t xml:space="preserve">Fournir note de calcul thermique suivant la réglementation en vigueur. </w:t>
      </w:r>
    </w:p>
    <w:p>
      <w:pPr/>
      <w:r>
        <w:rPr/>
        <w:t xml:space="preserve">Une validation par le CSTB sera demandée lors de l'évaluation.</w:t>
      </w:r>
    </w:p>
    <w:p>
      <w:pPr>
        <w:ind w:left="720" w:right="0"/>
      </w:pPr>
      <w:r>
        <w:rPr>
          <w:rStyle w:val="font_h2"/>
        </w:rPr>
        <w:t xml:space="preserve">3.4. Justification de la Réaction au feu</w:t>
      </w:r>
    </w:p>
    <w:p>
      <w:pPr/>
      <w:r>
        <w:rPr/>
        <w:t xml:space="preserve">Validé par le Groupe Spécialisé le 06/03/2018</w:t>
      </w:r>
    </w:p>
    <w:p>
      <w:pPr/>
      <w:r>
        <w:rPr>
          <w:b/>
          <w:bCs/>
        </w:rPr>
        <w:t xml:space="preserve">Description</w:t>
      </w:r>
    </w:p>
    <w:p>
      <w:pPr/>
      <w:r>
        <w:rPr/>
        <w:t xml:space="preserve">Evaluation de la réaction au feu conformément à la réglementation en vigueur</w:t>
      </w:r>
    </w:p>
    <w:p>
      <w:pPr/>
      <w:r>
        <w:rPr>
          <w:b/>
          <w:bCs/>
        </w:rPr>
        <w:t xml:space="preserve">Justification</w:t>
      </w:r>
    </w:p>
    <w:p>
      <w:pPr/>
      <w:r>
        <w:rPr/>
        <w:t xml:space="preserve">Rapport d'essai de réaction au feu.</w:t>
      </w:r>
    </w:p>
    <w:p>
      <w:pPr/>
      <w:r>
        <w:rPr/>
        <w:t xml:space="preserve">Utilisation en ERP: les panneaux à âme PU ou PIR doivent faire l'objet d'un rapport d'étude de laboratoire définissant une fiche de domaine d'emploi s'appuyant sur une étude d'ingénierie établie par un organisme (ou un groupement d'organismes) compétents en réaction et résistance au feu.</w:t>
      </w:r>
    </w:p>
    <w:p>
      <w:pPr>
        <w:ind w:left="720" w:right="0"/>
      </w:pPr>
      <w:r>
        <w:rPr>
          <w:rStyle w:val="font_h2"/>
        </w:rPr>
        <w:t xml:space="preserve">3.5. Rédaction du paragraphe réaction a ufeu</w:t>
      </w:r>
    </w:p>
    <w:p>
      <w:pPr/>
      <w:r>
        <w:rPr>
          <w:rStyle w:val="font_h1"/>
        </w:rPr>
        <w:t xml:space="preserve">4. Fabrication et contrôles</w:t>
      </w:r>
    </w:p>
    <w:p>
      <w:pPr/>
      <w:r>
        <w:rPr/>
        <w:t xml:space="preserve">Validé par le Groupe Spécialisé le 06/03/2018</w:t>
      </w:r>
    </w:p>
    <w:p>
      <w:pPr/>
      <w:r>
        <w:rPr>
          <w:b/>
          <w:bCs/>
        </w:rPr>
        <w:t xml:space="preserve">Description</w:t>
      </w:r>
    </w:p>
    <w:p>
      <w:pPr/>
      <w:r>
        <w:rPr/>
        <w:t xml:space="preserve">Décrire les différentes étapes de fabrication du produit (Indiquer si la fabrication est réalisée en continu ou en discontinu), fournir le plan qualité de la ligne de fabricationDécrire les contrôles: normes d'essais ou procédure interne, fréquence et spécifications retenues:</w:t>
      </w:r>
    </w:p>
    <w:p>
      <w:pPr>
        <w:pPr/>
        <w:numPr>
          <w:ilvl w:val="0"/>
          <w:numId w:val="12"/>
        </w:numPr>
      </w:pPr>
      <w:r>
        <w:rPr/>
        <w:t xml:space="preserve">a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w:t>
      </w:r>
    </w:p>
    <w:p>
      <w:pPr/>
      <w:r>
        <w:rPr/>
        <w:t xml:space="preserve">Fournir les résultats d'autocontrôles de la dernière année.</w:t>
      </w:r>
    </w:p>
    <w:p>
      <w:pPr/>
      <w:r>
        <w:rPr/>
        <w:t xml:space="preserve">Décrire comment sont réalisés l’emballage et l’étiquetage du produit.</w:t>
      </w:r>
    </w:p>
    <w:p>
      <w:pPr/>
      <w:r>
        <w:rPr>
          <w:b/>
          <w:bCs/>
        </w:rPr>
        <w:t xml:space="preserve">Justification</w:t>
      </w:r>
    </w:p>
    <w:p>
      <w:pPr/>
      <w:r>
        <w:rPr/>
        <w:t xml:space="preserve">La fabrication doit être conforme au cahier CSTB 3501 et à la norme NF EN 14509 pour les panneaux qui lui sont conformes.</w:t>
      </w:r>
    </w:p>
    <w:p>
      <w:pPr/>
      <w:r>
        <w:rPr/>
        <w:t xml:space="preserve">Les contrôles doivent être conformes aux spécifications de la norme NF EN 14509.</w:t>
      </w:r>
    </w:p>
    <w:p>
      <w:pPr/>
      <w:r>
        <w:rPr/>
        <w:t xml:space="preserve">L'usine de fabrication doit faire l'objet d'un suivi par le CSTB.</w:t>
      </w:r>
    </w:p>
    <w:p>
      <w:pPr/>
      <w:r>
        <w:rPr>
          <w:rStyle w:val="font_h1"/>
        </w:rPr>
        <w:t xml:space="preserve">5. Marquage conditionnement stockage</w:t>
      </w:r>
    </w:p>
    <w:p>
      <w:pPr/>
      <w:r>
        <w:rPr/>
        <w:t xml:space="preserve">Validé par le Groupe Spécialisé le 06/03/2018</w:t>
      </w:r>
    </w:p>
    <w:p>
      <w:pPr/>
      <w:r>
        <w:rPr>
          <w:b/>
          <w:bCs/>
        </w:rPr>
        <w:t xml:space="preserve">Description</w:t>
      </w:r>
    </w:p>
    <w:p>
      <w:pPr/>
      <w:r>
        <w:rPr/>
        <w:t xml:space="preserve">Préciser la marche à suivre pour les différentes étapes liées au transport, au déchargement, à la manutention et au stockage.</w:t>
      </w:r>
    </w:p>
    <w:p>
      <w:pPr/>
      <w:r>
        <w:rPr>
          <w:rStyle w:val="font_h1"/>
        </w:rPr>
        <w:t xml:space="preserve">6. Conception dimensionnement</w:t>
      </w:r>
    </w:p>
    <w:p>
      <w:pPr>
        <w:ind w:left="720" w:right="0"/>
      </w:pPr>
      <w:r>
        <w:rPr>
          <w:rStyle w:val="font_h2"/>
        </w:rPr>
        <w:t xml:space="preserve">6.1. Conception mécanique et sismique</w:t>
      </w:r>
    </w:p>
    <w:p>
      <w:pPr/>
      <w:r>
        <w:rPr/>
        <w:t xml:space="preserve">Validé par le Groupe Spécialisé le 06/03/2018</w:t>
      </w:r>
    </w:p>
    <w:p>
      <w:pPr/>
      <w:r>
        <w:rPr>
          <w:b/>
          <w:bCs/>
        </w:rPr>
        <w:t xml:space="preserve">Description</w:t>
      </w:r>
    </w:p>
    <w:p>
      <w:pPr/>
      <w:r>
        <w:rPr/>
        <w:t xml:space="preserve">Définition des règles de conception.</w:t>
      </w:r>
    </w:p>
    <w:p>
      <w:pPr/>
      <w:r>
        <w:rPr/>
        <w:t xml:space="preserve">Décrire le mode de détermination des tableaux charges/portées du produit.</w:t>
      </w:r>
    </w:p>
    <w:p>
      <w:pPr/>
      <w:r>
        <w:rPr/>
        <w:t xml:space="preserve">Préciser et justifier le domaine d'emploi du procédé en zone sismique.</w:t>
      </w:r>
    </w:p>
    <w:p>
      <w:pPr/>
      <w:r>
        <w:rPr>
          <w:b/>
          <w:bCs/>
        </w:rPr>
        <w:t xml:space="preserve">Justification</w:t>
      </w:r>
    </w:p>
    <w:p>
      <w:pPr>
        <w:pPr/>
        <w:numPr>
          <w:ilvl w:val="0"/>
          <w:numId w:val="13"/>
        </w:numPr>
      </w:pPr>
      <w:r>
        <w:rPr/>
        <w:t xml:space="preserve">Fournir les tableaux de portées aux états limités (selon l'une des méthodes décrites dans le cahier du CSTB 3731) pour les panneaux de bardage, et note de calcul d'établissement des tableaux précisant les critères de flèche et les coefficients de sécurité vis-à-vis de la ruine. Dans le cas où aucun essai servant à la détermination des tableaux de charges n’aurait été validé par un organisme tiers, un essai de recoupement réalisé par un organisme tiers doit être demandé (essai de détermination de la capacité du moment fléchissant et de la rigidité d'un panneau simplement appuyé selon l'Annexe A5 de la norme NF EN 14509. Une validation par le CSTB des tableaux de charges sera demandée lors de l'évaluation.</w:t>
      </w:r>
    </w:p>
    <w:p>
      <w:pPr>
        <w:pPr/>
        <w:numPr>
          <w:ilvl w:val="0"/>
          <w:numId w:val="13"/>
        </w:numPr>
      </w:pPr>
      <w:r>
        <w:rPr/>
        <w:t xml:space="preserve">Réaliser des essais sismiques (excitation dans le plan et perpendiculaire au plan, mise en parallélogramme)</w:t>
      </w:r>
    </w:p>
    <w:p>
      <w:pPr>
        <w:ind w:left="720" w:right="0"/>
      </w:pPr>
      <w:r>
        <w:rPr>
          <w:rStyle w:val="font_h2"/>
        </w:rPr>
        <w:t xml:space="preserve">6.2. Choix des panneaux</w:t>
      </w:r>
    </w:p>
    <w:p>
      <w:pPr/>
      <w:r>
        <w:rPr/>
        <w:t xml:space="preserve">Validé par le Groupe Spécialisé le 06/03/2018</w:t>
      </w:r>
    </w:p>
    <w:p>
      <w:pPr/>
      <w:r>
        <w:rPr>
          <w:b/>
          <w:bCs/>
        </w:rPr>
        <w:t xml:space="preserve">Description</w:t>
      </w:r>
    </w:p>
    <w:p>
      <w:pPr/>
      <w:r>
        <w:rPr/>
        <w:t xml:space="preserve">Existence ou absence de FDES ou EPD du produit</w:t>
      </w:r>
    </w:p>
    <w:p>
      <w:pPr/>
      <w:r>
        <w:rPr>
          <w:rStyle w:val="font_h1"/>
        </w:rPr>
        <w:t xml:space="preserve">7. Mise en oeuvre</w:t>
      </w:r>
    </w:p>
    <w:p>
      <w:pPr>
        <w:ind w:left="720" w:right="0"/>
      </w:pPr>
      <w:r>
        <w:rPr>
          <w:rStyle w:val="font_h2"/>
        </w:rPr>
        <w:t xml:space="preserve">7.1. Fixation des panneaux</w:t>
      </w:r>
    </w:p>
    <w:p>
      <w:pPr/>
      <w:r>
        <w:rPr/>
        <w:t xml:space="preserve">Validé par le Groupe Spécialisé le 06/03/2018</w:t>
      </w:r>
    </w:p>
    <w:p>
      <w:pPr/>
      <w:r>
        <w:rPr>
          <w:b/>
          <w:bCs/>
        </w:rPr>
        <w:t xml:space="preserve">Description</w:t>
      </w:r>
    </w:p>
    <w:p>
      <w:pPr/>
      <w:r>
        <w:rPr/>
        <w:t xml:space="preserve">Description des modes de répartition des fixations des panneaux.</w:t>
      </w:r>
    </w:p>
    <w:p>
      <w:pPr/>
      <w:r>
        <w:rPr/>
        <w:t xml:space="preserve">Préciser les largeurs minimales de repos des panneaux en fonction du type d'ossature.</w:t>
      </w:r>
    </w:p>
    <w:p>
      <w:pPr/>
      <w:r>
        <w:rPr>
          <w:b/>
          <w:bCs/>
        </w:rPr>
        <w:t xml:space="preserve">Illustration</w:t>
      </w:r>
    </w:p>
    <w:p>
      <w:pPr/>
      <w:r>
        <w:rPr/>
        <w:t xml:space="preserve">Schéma illustrant la répartition des fixations sur les panneaux en partie courante et en rive</w:t>
      </w:r>
    </w:p>
    <w:p>
      <w:pPr/>
      <w:r>
        <w:rPr/>
        <w:t xml:space="preserve">Schéma des fixations sur appui avec positionnement éventuel des garnitures d'étanchéité</w:t>
      </w:r>
    </w:p>
    <w:p>
      <w:pPr>
        <w:ind w:left="720" w:right="0"/>
      </w:pPr>
      <w:r>
        <w:rPr>
          <w:rStyle w:val="font_h2"/>
        </w:rPr>
        <w:t xml:space="preserve">7.2. Jonctions des panneaux</w:t>
      </w:r>
    </w:p>
    <w:p>
      <w:pPr/>
      <w:r>
        <w:rPr/>
        <w:t xml:space="preserve">Validé par le Groupe Spécialisé le 06/03/2018</w:t>
      </w:r>
    </w:p>
    <w:p>
      <w:pPr/>
      <w:r>
        <w:rPr>
          <w:b/>
          <w:bCs/>
        </w:rPr>
        <w:t xml:space="preserve">Description</w:t>
      </w:r>
    </w:p>
    <w:p>
      <w:pPr/>
      <w:r>
        <w:rPr/>
        <w:t xml:space="preserve">Description du traitement des jonctions transversales et longitudinales.</w:t>
      </w:r>
    </w:p>
    <w:p>
      <w:pPr/>
      <w:r>
        <w:rPr>
          <w:b/>
          <w:bCs/>
        </w:rPr>
        <w:t xml:space="preserve">Illustration</w:t>
      </w:r>
    </w:p>
    <w:p>
      <w:pPr/>
      <w:r>
        <w:rPr/>
        <w:t xml:space="preserve">-Schéma coté de l’emboitement des panneaux.</w:t>
      </w:r>
    </w:p>
    <w:p>
      <w:pPr/>
      <w:r>
        <w:rPr/>
        <w:t xml:space="preserve">-Schéma de mise en œuvre, coté, sur chaque type de charpente support</w:t>
      </w:r>
    </w:p>
    <w:p>
      <w:pPr/>
      <w:r>
        <w:rPr/>
        <w:t xml:space="preserve">-Schéma illustrant les pénétrations</w:t>
      </w:r>
    </w:p>
    <w:p>
      <w:pPr/>
      <w:r>
        <w:rPr/>
        <w:t xml:space="preserve">-Schéma illustrant le traitement de la jonction transversale, en indiquant les largeurs minimales d'appuis (appui intermédiaire et d'extrémité)</w:t>
      </w:r>
    </w:p>
    <w:p>
      <w:pPr>
        <w:ind w:left="720" w:right="0"/>
      </w:pPr>
      <w:r>
        <w:rPr>
          <w:rStyle w:val="font_h2"/>
        </w:rPr>
        <w:t xml:space="preserve">7.3. Garniture d'étanchéité</w:t>
      </w:r>
    </w:p>
    <w:p>
      <w:pPr/>
      <w:r>
        <w:rPr/>
        <w:t xml:space="preserve">Validé par le Groupe Spécialisé le 06/03/2018</w:t>
      </w:r>
    </w:p>
    <w:p>
      <w:pPr/>
      <w:r>
        <w:rPr>
          <w:b/>
          <w:bCs/>
        </w:rPr>
        <w:t xml:space="preserve">Description</w:t>
      </w:r>
    </w:p>
    <w:p>
      <w:pPr/>
      <w:r>
        <w:rPr/>
        <w:t xml:space="preserve">Description de la mise en œuvre des garnitures d'étanchéité.</w:t>
      </w:r>
    </w:p>
    <w:p>
      <w:pPr/>
      <w:r>
        <w:rPr>
          <w:b/>
          <w:bCs/>
        </w:rPr>
        <w:t xml:space="preserve">Illustration</w:t>
      </w:r>
    </w:p>
    <w:p>
      <w:pPr/>
      <w:r>
        <w:rPr/>
        <w:t xml:space="preserve">-Schéma des fixations sur appui avec positionnement éventuel des garnitures d'étanchéités</w:t>
      </w:r>
    </w:p>
    <w:p>
      <w:pPr/>
      <w:r>
        <w:rPr/>
        <w:t xml:space="preserve">-Schéma des différents types de jonctions avec positionnement des garnitures d'étanchéité.</w:t>
      </w:r>
    </w:p>
    <w:p>
      <w:pPr>
        <w:ind w:left="720" w:right="0"/>
      </w:pPr>
      <w:r>
        <w:rPr>
          <w:rStyle w:val="font_h2"/>
        </w:rPr>
        <w:t xml:space="preserve">7.4. Points singuliers</w:t>
      </w:r>
    </w:p>
    <w:p>
      <w:pPr/>
      <w:r>
        <w:rPr/>
        <w:t xml:space="preserve">Validé par le Groupe Spécialisé le 06/03/2018</w:t>
      </w:r>
    </w:p>
    <w:p>
      <w:pPr/>
      <w:r>
        <w:rPr>
          <w:b/>
          <w:bCs/>
        </w:rPr>
        <w:t xml:space="preserve">Description</w:t>
      </w:r>
    </w:p>
    <w:p>
      <w:pPr/>
      <w:r>
        <w:rPr/>
        <w:t xml:space="preserve">Description du traitement des points singuliers pour les jonctions longitudinales et transversales, traitement du pied de panneau, jonctions paroi/toiture, pénétrations, joints de dilatation.</w:t>
      </w:r>
    </w:p>
    <w:p>
      <w:pPr/>
      <w:r>
        <w:rPr>
          <w:b/>
          <w:bCs/>
        </w:rPr>
        <w:t xml:space="preserve">Illustration</w:t>
      </w:r>
    </w:p>
    <w:p>
      <w:pPr>
        <w:pPr/>
        <w:numPr>
          <w:ilvl w:val="0"/>
          <w:numId w:val="14"/>
        </w:numPr>
      </w:pPr>
      <w:r>
        <w:rPr/>
        <w:t xml:space="preserve">Schéma illustrant le traitement de chaque point singulier (rives, faîtages, égouts, mise en œuvre d'un chevêtre...)</w:t>
      </w:r>
    </w:p>
    <w:p>
      <w:pPr>
        <w:ind w:left="720" w:right="0"/>
      </w:pPr>
      <w:r>
        <w:rPr>
          <w:rStyle w:val="font_h2"/>
        </w:rPr>
        <w:t xml:space="preserve">7.5. Entretien/nettoyage</w:t>
      </w:r>
    </w:p>
    <w:p>
      <w:pPr/>
      <w:r>
        <w:rPr/>
        <w:t xml:space="preserve">Validé par le Groupe Spécialisé le 06/03/2018</w:t>
      </w:r>
    </w:p>
    <w:p>
      <w:pPr/>
      <w:r>
        <w:rPr>
          <w:b/>
          <w:bCs/>
        </w:rPr>
        <w:t xml:space="preserve">Description</w:t>
      </w:r>
    </w:p>
    <w:p>
      <w:pPr/>
      <w:r>
        <w:rPr/>
        <w:t xml:space="preserve">Préciser les consignes.</w:t>
      </w:r>
    </w:p>
    <w:p>
      <w:pPr/>
      <w:r>
        <w:rPr>
          <w:rStyle w:val="font_h1"/>
        </w:rPr>
        <w:t xml:space="preserve">8. Annexe</w:t>
      </w:r>
    </w:p>
    <w:p>
      <w:pPr>
        <w:ind w:left="720" w:right="0"/>
      </w:pPr>
      <w:r>
        <w:rPr>
          <w:rStyle w:val="font_h2"/>
        </w:rPr>
        <w:t xml:space="preserve">8.1. Dossier graphique</w:t>
      </w:r>
    </w:p>
    <w:p>
      <w:pPr/>
      <w:r>
        <w:rPr/>
        <w:t xml:space="preserve">Validé par le Groupe Spécialisé le 13/10/2020</w:t>
      </w:r>
    </w:p>
    <w:p>
      <w:pPr/>
      <w:r>
        <w:rPr>
          <w:b/>
          <w:bCs/>
        </w:rPr>
        <w:t xml:space="preserve">Description</w:t>
      </w:r>
    </w:p>
    <w:p>
      <w:pPr/>
      <w:r>
        <w:rPr/>
        <w:t xml:space="preserve">Pour les ouvrages particuliers de couvertures :Préciser que les chéneaux, représentés dans le Dossier Graphique, ne sont pas visés dans les Documents Techniques d’Application des procédés de couverture.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35F6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B89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F79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A9DA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F69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F247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2026-05-02T08:00:57+02:00</dcterms:created>
  <dcterms:modified xsi:type="dcterms:W3CDTF">2026-05-02T08:00:57+02:00</dcterms:modified>
</cp:coreProperties>
</file>

<file path=docProps/custom.xml><?xml version="1.0" encoding="utf-8"?>
<Properties xmlns="http://schemas.openxmlformats.org/officeDocument/2006/custom-properties" xmlns:vt="http://schemas.openxmlformats.org/officeDocument/2006/docPropsVTypes"/>
</file>