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24/06/2026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pour locaux frigorifiques et agroalimentaires</w:t>
      </w:r>
    </w:p>
    <w:p>
      <w:pPr/>
      <w:r>
        <w:rPr>
          <w:rStyle w:val="font_h1"/>
        </w:rPr>
        <w:t xml:space="preserve">1. Domaine d'emploi</w:t>
      </w:r>
    </w:p>
    <w:p>
      <w:pPr/>
      <w:r>
        <w:rPr/>
        <w:t xml:space="preserve">Validé par le Groupe Spécialisé le 13/03/2017</w:t>
      </w:r>
    </w:p>
    <w:p>
      <w:pPr/>
      <w:r>
        <w:rPr>
          <w:b/>
          <w:bCs/>
        </w:rPr>
        <w:t xml:space="preserve">Description</w:t>
      </w:r>
    </w:p>
    <w:p>
      <w:pPr/>
      <w:r>
        <w:rPr/>
        <w:t xml:space="preserve">Définition du domaine d’emploi visé (type d’emploi (paroi, cloisons, plafonds), type de charpente (bois, métal, béton avec insert métallique) et position de la charpente, sens de pose du panneau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agressivité de l’ambiance intérieure, la surface,</w:t>
      </w:r>
    </w:p>
    <w:p>
      <w:pPr>
        <w:pPr/>
        <w:numPr>
          <w:ilvl w:val="0"/>
          <w:numId w:val="9"/>
        </w:numPr>
      </w:pPr>
      <w:r>
        <w:rPr/>
        <w:t xml:space="preserve">la nature des parements,</w:t>
      </w:r>
    </w:p>
    <w:p>
      <w:pPr>
        <w:pPr/>
        <w:numPr>
          <w:ilvl w:val="0"/>
          <w:numId w:val="9"/>
        </w:numPr>
      </w:pPr>
      <w:r>
        <w:rPr/>
        <w:t xml:space="preserve">l’épaisseur du panneau,</w:t>
      </w:r>
    </w:p>
    <w:p>
      <w:pPr>
        <w:pPr/>
        <w:numPr>
          <w:ilvl w:val="0"/>
          <w:numId w:val="9"/>
        </w:numPr>
      </w:pPr>
      <w:r>
        <w:rPr/>
        <w:t xml:space="preserve">type de fixations,</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ind w:left="1440" w:right="0"/>
      </w:pPr>
      <w:r>
        <w:rPr>
          <w:rStyle w:val="font_h3"/>
        </w:rPr>
        <w:t xml:space="preserve">2.1.1. Cas des parements acier</w:t>
      </w:r>
    </w:p>
    <w:p>
      <w:pPr/>
      <w:r>
        <w:rPr/>
        <w:t xml:space="preserve">Validé par le Groupe Spécialisé le 13/03/2017</w:t>
      </w:r>
    </w:p>
    <w:p>
      <w:pPr/>
      <w:r>
        <w:rPr>
          <w:b/>
          <w:bCs/>
        </w:rPr>
        <w:t xml:space="preserve">Description</w:t>
      </w:r>
    </w:p>
    <w:p>
      <w:pPr/>
      <w:r>
        <w:rPr/>
        <w:t xml:space="preserve">Préciser la nuance d’acier et préciser le type et l’épaisseur de revêtement métallique (selon NF EN 10346 ou autres). Préciser les éventuels revêtements organiques associés et fournir leur fiche technique indiquant leur catégorie selon XP P34-301 ou selon NF EN 10169 ainsi que les résultats d’essai selon ces normes permettant de donner un domaine d’emploi en termes d’atmosphères extérieures et d’ambiances intérieures.</w:t>
      </w:r>
    </w:p>
    <w:p>
      <w:pPr/>
      <w:r>
        <w:rPr>
          <w:b/>
          <w:bCs/>
        </w:rPr>
        <w:t xml:space="preserve">Illustration</w:t>
      </w:r>
    </w:p>
    <w:p>
      <w:pPr/>
      <w:r>
        <w:rPr/>
        <w:t xml:space="preserve">Schéma coté, des différentes géométries de parementsSchéma coté de l'emboitement des panneaux</w:t>
      </w:r>
    </w:p>
    <w:p>
      <w:pPr>
        <w:ind w:left="1440" w:right="0"/>
      </w:pPr>
      <w:r>
        <w:rPr>
          <w:rStyle w:val="font_h3"/>
        </w:rPr>
        <w:t xml:space="preserve">2.1.2. Cas des parements inox</w:t>
      </w:r>
    </w:p>
    <w:p>
      <w:pPr/>
      <w:r>
        <w:rPr/>
        <w:t xml:space="preserve">Validé par le Groupe Spécialisé le 13/03/2017</w:t>
      </w:r>
    </w:p>
    <w:p>
      <w:pPr/>
      <w:r>
        <w:rPr>
          <w:b/>
          <w:bCs/>
        </w:rPr>
        <w:t xml:space="preserve">Description</w:t>
      </w:r>
    </w:p>
    <w:p>
      <w:pPr/>
      <w:r>
        <w:rPr/>
        <w:t xml:space="preserve">Préciser le type d’inox. Préciser les éventuels revêtements organiques associés et fournir leur fiche technique indiquant leur catégorie selon XP P34-301.</w:t>
      </w:r>
    </w:p>
    <w:p>
      <w:pPr/>
      <w:r>
        <w:rPr>
          <w:b/>
          <w:bCs/>
        </w:rPr>
        <w:t xml:space="preserve">Illustration</w:t>
      </w:r>
    </w:p>
    <w:p>
      <w:pPr/>
      <w:r>
        <w:rPr/>
        <w:t xml:space="preserve">Schéma coté, des différentes géométries de parementsSchéma coté de l'emboitement des panneaux</w:t>
      </w:r>
    </w:p>
    <w:p>
      <w:pPr>
        <w:ind w:left="1440" w:right="0"/>
      </w:pPr>
      <w:r>
        <w:rPr>
          <w:rStyle w:val="font_h3"/>
        </w:rPr>
        <w:t xml:space="preserve">2.1.3. Cas des parements polyester</w:t>
      </w:r>
    </w:p>
    <w:p>
      <w:pPr/>
      <w:r>
        <w:rPr/>
        <w:t xml:space="preserve">Validé par le Groupe Spécialisé le 13/03/2017</w:t>
      </w:r>
    </w:p>
    <w:p>
      <w:pPr/>
      <w:r>
        <w:rPr>
          <w:b/>
          <w:bCs/>
        </w:rPr>
        <w:t xml:space="preserve">Description</w:t>
      </w:r>
    </w:p>
    <w:p>
      <w:pPr/>
      <w:r>
        <w:rPr/>
        <w:t xml:space="preserve">Composition du parement (les références des différents composants sont fournies au CSTB dans le dossier technique confidentiel).</w:t>
      </w:r>
    </w:p>
    <w:p>
      <w:pPr/>
      <w:r>
        <w:rPr>
          <w:b/>
          <w:bCs/>
        </w:rPr>
        <w:t xml:space="preserve">Illustration</w:t>
      </w:r>
    </w:p>
    <w:p>
      <w:pPr/>
      <w:r>
        <w:rPr/>
        <w:t xml:space="preserve">Schéma coté, des différentes géométries de parementsSchéma de l'emboitement des panneaux</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13/03/2017</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13/03/2017</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plaque polymère</w:t>
      </w:r>
    </w:p>
    <w:p>
      <w:pPr/>
      <w:r>
        <w:rPr/>
        <w:t xml:space="preserve">Validé par le Groupe Spécialisé le 13/03/2017</w:t>
      </w:r>
    </w:p>
    <w:p>
      <w:pPr/>
      <w:r>
        <w:rPr>
          <w:b/>
          <w:bCs/>
        </w:rPr>
        <w:t xml:space="preserve">Description</w:t>
      </w:r>
    </w:p>
    <w:p>
      <w:pPr/>
      <w:r>
        <w:rPr/>
        <w:t xml:space="preserve">Fiche technique</w:t>
      </w:r>
    </w:p>
    <w:p>
      <w:pPr/>
      <w:r>
        <w:rPr>
          <w:b/>
          <w:bCs/>
        </w:rPr>
        <w:t xml:space="preserve">Justification</w:t>
      </w:r>
    </w:p>
    <w:p>
      <w:pPr/>
      <w:r>
        <w:rPr/>
        <w:t xml:space="preserve">Fournir la fiche technique. Fournir la déclaration de marquage CE ou certificat de marquage CE de la plaque.</w:t>
      </w:r>
    </w:p>
    <w:p>
      <w:pPr>
        <w:ind w:left="1440" w:right="0"/>
      </w:pPr>
      <w:r>
        <w:rPr>
          <w:rStyle w:val="font_h3"/>
        </w:rPr>
        <w:t xml:space="preserve">2.2.4. Cas des âmes en laine de roche</w:t>
      </w:r>
    </w:p>
    <w:p>
      <w:pPr/>
      <w:r>
        <w:rPr/>
        <w:t xml:space="preserve">Validé par le Groupe Spécialisé le 13/03/2017</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13/03/2017</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13/03/2017</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Fixations</w:t>
      </w:r>
    </w:p>
    <w:p>
      <w:pPr/>
      <w:r>
        <w:rPr/>
        <w:t xml:space="preserve">Validé par le Groupe Spécialisé le 13/03/2017</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intérieures.Fournir un tableau donnant le guide d'utilisation des différentes fixations en fonction des atmosphères.</w:t>
      </w:r>
    </w:p>
    <w:p>
      <w:pPr>
        <w:ind w:left="720" w:right="0"/>
      </w:pPr>
      <w:r>
        <w:rPr>
          <w:rStyle w:val="font_h2"/>
        </w:rPr>
        <w:t xml:space="preserve">2.6. Accessoires d'habillage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13/03/2017</w:t>
      </w:r>
    </w:p>
    <w:p>
      <w:pPr/>
      <w:r>
        <w:rPr>
          <w:b/>
          <w:bCs/>
        </w:rPr>
        <w:t xml:space="preserve">Description</w:t>
      </w:r>
    </w:p>
    <w:p>
      <w:pPr/>
      <w:r>
        <w:rPr/>
        <w:t xml:space="preserve">Préciser longueur maximale, largeur utile, différentes épaisseurs, géométrie des parements, description de l’emboitement.Fournir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13/03/2017</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pour panneau de mousse polymère (expansée en usine avec gaz d'expansion autre que pentane ou sous forme de plaque) et panneau laine de roche</w:t>
      </w:r>
    </w:p>
    <w:p>
      <w:pPr>
        <w:pPr/>
        <w:numPr>
          <w:ilvl w:val="0"/>
          <w:numId w:val="11"/>
        </w:numPr>
      </w:pPr>
      <w:r>
        <w:rPr/>
        <w:t xml:space="preserve">Essai d’insolation choc thermique (panneau en mousse polymère en plaques, panneau en polyuréthane ou polyisocyanurate si expansé par un gaz autre que pentane).</w:t>
      </w:r>
    </w:p>
    <w:p>
      <w:pPr>
        <w:ind w:left="720" w:right="0"/>
      </w:pPr>
      <w:r>
        <w:rPr>
          <w:rStyle w:val="font_h2"/>
        </w:rPr>
        <w:t xml:space="preserve">3.3. Thermique</w:t>
      </w:r>
    </w:p>
    <w:p>
      <w:pPr/>
      <w:r>
        <w:rPr/>
        <w:t xml:space="preserve">Validé par le Groupe Spécialisé le 13/03/2017</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Une validation par le CSTB sera demandée lors de l'évaluation.</w:t>
      </w:r>
    </w:p>
    <w:p>
      <w:pPr>
        <w:ind w:left="720" w:right="0"/>
      </w:pPr>
      <w:r>
        <w:rPr>
          <w:rStyle w:val="font_h2"/>
        </w:rPr>
        <w:t xml:space="preserve">3.4. Justification de la Réaction au feu</w:t>
      </w:r>
    </w:p>
    <w:p>
      <w:pPr/>
      <w:r>
        <w:rPr/>
        <w:t xml:space="preserve">Validé par le Groupe Spécialisé le 13/03/2017</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feu.Utilisation en ERP: les panneaux à âme PU ou PIR doivent faire l'objet d'un rapport d'étude définissant une fiche de domaine d'emploi s'appuyant sur une étude d'ingénierie établie par un organisme (ou un regroupement d'organismes) compétents en réaction et résistance au feu.</w:t>
      </w:r>
    </w:p>
    <w:p>
      <w:pPr>
        <w:ind w:left="720" w:right="0"/>
      </w:pPr>
      <w:r>
        <w:rPr>
          <w:rStyle w:val="font_h2"/>
        </w:rPr>
        <w:t xml:space="preserve">3.5. Rédaction du paragraphe Réaction au feu</w:t>
      </w:r>
    </w:p>
    <w:p>
      <w:pPr/>
      <w:r>
        <w:rPr>
          <w:rStyle w:val="font_h1"/>
        </w:rPr>
        <w:t xml:space="preserve">4. Fabrication et contrôles</w:t>
      </w:r>
    </w:p>
    <w:p>
      <w:pPr/>
      <w:r>
        <w:rPr/>
        <w:t xml:space="preserve">Validé par le Groupe Spécialisé le 13/03/2017</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mécaniquesFournir les résultats d'autocontrôles de la dernière année.Décrire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conformes.Les contrôles doivent être conformes aux spécifications de la norme NF EN 14509.L'usine de fabrication doit faire l'objet d'un suivi par le CSTB.</w:t>
      </w:r>
    </w:p>
    <w:p>
      <w:pPr/>
      <w:r>
        <w:rPr>
          <w:rStyle w:val="font_h1"/>
        </w:rPr>
        <w:t xml:space="preserve">5. Marquage conditionnement stockage</w:t>
      </w:r>
    </w:p>
    <w:p>
      <w:pPr/>
      <w:r>
        <w:rPr/>
        <w:t xml:space="preserve">Validé par le Groupe Spécialisé le 13/03/2017</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et dimensionnement</w:t>
      </w:r>
    </w:p>
    <w:p>
      <w:pPr>
        <w:ind w:left="720" w:right="0"/>
      </w:pPr>
      <w:r>
        <w:rPr>
          <w:rStyle w:val="font_h2"/>
        </w:rPr>
        <w:t xml:space="preserve">6.1. Conception mécanique et sismique</w:t>
      </w:r>
    </w:p>
    <w:p>
      <w:pPr/>
      <w:r>
        <w:rPr/>
        <w:t xml:space="preserve">Validé par le Groupe Spécialisé le 09/03/2021</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Ne plus faire référence dans les DTA au référentiel des actions climatiques NV 65 modifiées pour le dimensionnement des panneaux sandwich, seul le référentiel Eurocode s’applique.</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charges/portées aux états limites des panneaux en plafond, suivant le cahier du CSTB 3626-V3, accompagnés des rapports d’essais mécaniques et de la note de calcul d’établissement des tableaux précisant les critères de flèche et les coefficients de sécurité vis-à-vis de la ruine.</w:t>
      </w:r>
    </w:p>
    <w:p>
      <w:pPr>
        <w:pPr/>
        <w:numPr>
          <w:ilvl w:val="0"/>
          <w:numId w:val="13"/>
        </w:numPr>
      </w:pPr>
      <w:r>
        <w:rPr/>
        <w:t xml:space="preserve">Fournir les tableaux charges/portées aux états limites des panneaux en parois, selon la norme européenne NF EN 14509, le complément national XP P 34-900 ou le cahier CSTB 3731, accompagnés des rapports d’essais mécaniques et de la note de calcul d’établissement des tableaux précisant les critères de flèche et les coefficients de sécurité vis-à-vis de la ruine.</w:t>
      </w:r>
    </w:p>
    <w:p>
      <w:pPr>
        <w:pPr/>
        <w:numPr>
          <w:ilvl w:val="0"/>
          <w:numId w:val="13"/>
        </w:numPr>
      </w:pPr>
      <w:r>
        <w:rPr/>
        <w:t xml:space="preserve">Les essais servant au dimensionnement du panneau doivent être réalisés ou supervisés par un organisme tiers. Dans le cas où aucun essai servant à la détermination des tableaux de charges n’aurait été validé par un organisme tiers, un essai de recoupement réalisé par un organisme tiers doit être demandé.</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revêtements en fonction des atmosphères</w:t>
      </w:r>
    </w:p>
    <w:p>
      <w:pPr/>
      <w:r>
        <w:rPr/>
        <w:t xml:space="preserve">Validé par le Groupe Spécialisé le 13/03/2017</w:t>
      </w:r>
    </w:p>
    <w:p>
      <w:pPr/>
      <w:r>
        <w:rPr>
          <w:b/>
          <w:bCs/>
        </w:rPr>
        <w:t xml:space="preserve">Description</w:t>
      </w:r>
    </w:p>
    <w:p>
      <w:pPr/>
      <w:r>
        <w:rPr/>
        <w:t xml:space="preserve">Fournir 2 tableaux donnant le guide de choix des différents revêtements en fonction des atmosphères extérieures et ambiances intérieures selon la norme XP P 34-301.</w:t>
      </w:r>
    </w:p>
    <w:p>
      <w:pPr>
        <w:ind w:left="720" w:right="0"/>
      </w:pPr>
      <w:r>
        <w:rPr>
          <w:rStyle w:val="font_h2"/>
        </w:rPr>
        <w:t xml:space="preserve">6.3. Choix de l'étanchéité</w:t>
      </w:r>
    </w:p>
    <w:p>
      <w:pPr/>
      <w:r>
        <w:rPr/>
        <w:t xml:space="preserve">Validé par le Groupe Spécialisé le 13/03/2017</w:t>
      </w:r>
    </w:p>
    <w:p>
      <w:pPr/>
      <w:r>
        <w:rPr>
          <w:b/>
          <w:bCs/>
        </w:rPr>
        <w:t xml:space="preserve">Description</w:t>
      </w:r>
    </w:p>
    <w:p>
      <w:pPr/>
      <w:r>
        <w:rPr/>
        <w:t xml:space="preserve">Décrire les principes de choix des garnitures d'étanchéité en fonction de la catégorie d'ambiance intérieure des locaux.</w:t>
      </w:r>
    </w:p>
    <w:p>
      <w:pPr>
        <w:ind w:left="720" w:right="0"/>
      </w:pPr>
      <w:r>
        <w:rPr>
          <w:rStyle w:val="font_h2"/>
        </w:rPr>
        <w:t xml:space="preserve">6.4. Choix des panneaux</w:t>
      </w:r>
    </w:p>
    <w:p>
      <w:pPr/>
      <w:r>
        <w:rPr/>
        <w:t xml:space="preserve">Validé par le Groupe Spécialisé le 13/03/2017</w:t>
      </w:r>
    </w:p>
    <w:p>
      <w:pPr/>
      <w:r>
        <w:rPr>
          <w:b/>
          <w:bCs/>
        </w:rPr>
        <w:t xml:space="preserve">Description</w:t>
      </w:r>
    </w:p>
    <w:p>
      <w:pPr/>
      <w:r>
        <w:rPr/>
        <w:t xml:space="preserve">Existence ou absence de FDES ou EPD du produit</w:t>
      </w:r>
    </w:p>
    <w:p>
      <w:pPr>
        <w:ind w:left="720" w:right="0"/>
      </w:pPr>
      <w:r>
        <w:rPr>
          <w:rStyle w:val="font_h2"/>
        </w:rPr>
        <w:t xml:space="preserve">6.5. Disposition de conception des parois extérieures et cloisons supportant les plafonds</w:t>
      </w:r>
    </w:p>
    <w:p>
      <w:pPr/>
      <w:r>
        <w:rPr/>
        <w:t xml:space="preserve">Validé par le Groupe Spécialisé le 24/09/2019</w:t>
      </w:r>
    </w:p>
    <w:p>
      <w:pPr/>
      <w:r>
        <w:rPr>
          <w:b/>
          <w:bCs/>
        </w:rPr>
        <w:t xml:space="preserve">Description</w:t>
      </w:r>
    </w:p>
    <w:p>
      <w:pPr/>
      <w:r>
        <w:rPr/>
        <w:t xml:space="preserve">Les dispositions constructives applicables à ce chapitre sont décrites dans le cahier CSTB 3809, les panneaux de parois extérieurs et cloisons supportant les plafonds doivent rentrer dans ce champ d'application.</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13/03/2017</w:t>
      </w:r>
    </w:p>
    <w:p>
      <w:pPr/>
      <w:r>
        <w:rPr>
          <w:b/>
          <w:bCs/>
        </w:rPr>
        <w:t xml:space="preserve">Description</w:t>
      </w:r>
    </w:p>
    <w:p>
      <w:pPr/>
      <w:r>
        <w:rPr/>
        <w:t xml:space="preserve">Description des modes de répartition des fixations des panneaux.Préciser les largeurs minimales de repos des panneaux en fonction du type d'ossature.</w:t>
      </w:r>
    </w:p>
    <w:p>
      <w:pPr/>
      <w:r>
        <w:rPr>
          <w:b/>
          <w:bCs/>
        </w:rPr>
        <w:t xml:space="preserve">Illustration</w:t>
      </w:r>
    </w:p>
    <w:p>
      <w:pPr/>
      <w:r>
        <w:rPr/>
        <w:t xml:space="preserve">Schéma des fixations sur l'appui en paroi avec positionnement des garnitures d'étanchéité.Schéma des fixations des panneaux en plafond avec positionnement des garnitures d'étanchéité.Schéma coté des dispositifs de fixation en plafond (douilles, tés...)</w:t>
      </w:r>
    </w:p>
    <w:p>
      <w:pPr>
        <w:ind w:left="720" w:right="0"/>
      </w:pPr>
      <w:r>
        <w:rPr>
          <w:rStyle w:val="font_h2"/>
        </w:rPr>
        <w:t xml:space="preserve">7.2. Jonctions des panneaux</w:t>
      </w:r>
    </w:p>
    <w:p>
      <w:pPr/>
      <w:r>
        <w:rPr/>
        <w:t xml:space="preserve">Validé par le Groupe Spécialisé le 13/03/2017</w:t>
      </w:r>
    </w:p>
    <w:p>
      <w:pPr/>
      <w:r>
        <w:rPr>
          <w:b/>
          <w:bCs/>
        </w:rPr>
        <w:t xml:space="preserve">Description</w:t>
      </w:r>
    </w:p>
    <w:p>
      <w:pPr/>
      <w:r>
        <w:rPr/>
        <w:t xml:space="preserve">Description du traitement des jonctions transversales et longitudinales.</w:t>
      </w:r>
    </w:p>
    <w:p>
      <w:pPr/>
      <w:r>
        <w:rPr>
          <w:b/>
          <w:bCs/>
        </w:rPr>
        <w:t xml:space="preserve">Illustration</w:t>
      </w:r>
    </w:p>
    <w:p>
      <w:pPr>
        <w:pPr/>
        <w:numPr>
          <w:ilvl w:val="0"/>
          <w:numId w:val="14"/>
        </w:numPr>
      </w:pPr>
      <w:r>
        <w:rPr/>
        <w:t xml:space="preserve">Schéma coté de l’emboitement des panneaux.</w:t>
      </w:r>
    </w:p>
    <w:p>
      <w:pPr>
        <w:pPr/>
        <w:numPr>
          <w:ilvl w:val="0"/>
          <w:numId w:val="14"/>
        </w:numPr>
      </w:pPr>
      <w:r>
        <w:rPr/>
        <w:t xml:space="preserve">Schéma des différents types de jonctions paroi/paroi et paroi/plafonds avec positionnement des garnitures d’étanchéité.</w:t>
      </w:r>
    </w:p>
    <w:p>
      <w:pPr>
        <w:pPr/>
        <w:numPr>
          <w:ilvl w:val="0"/>
          <w:numId w:val="14"/>
        </w:numPr>
      </w:pPr>
      <w:r>
        <w:rPr/>
        <w:t xml:space="preserve">Schéma des différents types de jonction paroi/sol.</w:t>
      </w:r>
    </w:p>
    <w:p>
      <w:pPr>
        <w:ind w:left="720" w:right="0"/>
      </w:pPr>
      <w:r>
        <w:rPr>
          <w:rStyle w:val="font_h2"/>
        </w:rPr>
        <w:t xml:space="preserve">7.3. Garniture d'étanchéité</w:t>
      </w:r>
    </w:p>
    <w:p>
      <w:pPr/>
      <w:r>
        <w:rPr/>
        <w:t xml:space="preserve">Validé par le Groupe Spécialisé le 13/03/2017</w:t>
      </w:r>
    </w:p>
    <w:p>
      <w:pPr/>
      <w:r>
        <w:rPr>
          <w:b/>
          <w:bCs/>
        </w:rPr>
        <w:t xml:space="preserve">Description</w:t>
      </w:r>
    </w:p>
    <w:p>
      <w:pPr/>
      <w:r>
        <w:rPr/>
        <w:t xml:space="preserve">Description de la mise en œuvre des garnitures d'étanchéité.</w:t>
      </w:r>
    </w:p>
    <w:p>
      <w:pPr>
        <w:ind w:left="720" w:right="0"/>
      </w:pPr>
      <w:r>
        <w:rPr>
          <w:rStyle w:val="font_h2"/>
        </w:rPr>
        <w:t xml:space="preserve">7.4. Points singuliers</w:t>
      </w:r>
    </w:p>
    <w:p>
      <w:pPr/>
      <w:r>
        <w:rPr/>
        <w:t xml:space="preserve">Validé par le Groupe Spécialisé le 13/03/2017</w:t>
      </w:r>
    </w:p>
    <w:p>
      <w:pPr/>
      <w:r>
        <w:rPr>
          <w:b/>
          <w:bCs/>
        </w:rPr>
        <w:t xml:space="preserve">Description</w:t>
      </w:r>
    </w:p>
    <w:p>
      <w:pPr/>
      <w:r>
        <w:rPr/>
        <w:t xml:space="preserve">Description du traitement des points singuliers pour les jonctions longitudinales et transversales, traitement du pied de panneau, jonctions paroi/paroi, jonction parois/plafonds, pénétrations.</w:t>
      </w:r>
    </w:p>
    <w:p>
      <w:pPr/>
      <w:r>
        <w:rPr>
          <w:b/>
          <w:bCs/>
        </w:rPr>
        <w:t xml:space="preserve">Illustration</w:t>
      </w:r>
    </w:p>
    <w:p>
      <w:pPr>
        <w:pPr/>
        <w:numPr>
          <w:ilvl w:val="0"/>
          <w:numId w:val="15"/>
        </w:numPr>
      </w:pPr>
      <w:r>
        <w:rPr/>
        <w:t xml:space="preserve">Schéma illustrant les pénétrations et la gestion des baies et portes.</w:t>
      </w:r>
    </w:p>
    <w:p>
      <w:pPr>
        <w:pPr/>
        <w:numPr>
          <w:ilvl w:val="0"/>
          <w:numId w:val="15"/>
        </w:numPr>
      </w:pPr>
      <w:r>
        <w:rPr/>
        <w:t xml:space="preserve">Schéma illustrant la gestion d’un joint de dilatation</w:t>
      </w:r>
    </w:p>
    <w:p>
      <w:pPr>
        <w:ind w:left="720" w:right="0"/>
      </w:pPr>
      <w:r>
        <w:rPr>
          <w:rStyle w:val="font_h2"/>
        </w:rPr>
        <w:t xml:space="preserve">7.5. Entretien/nettoyage</w:t>
      </w:r>
    </w:p>
    <w:p>
      <w:pPr/>
      <w:r>
        <w:rPr/>
        <w:t xml:space="preserve">Validé par le Groupe Spécialisé le 13/03/2017</w:t>
      </w:r>
    </w:p>
    <w:p>
      <w:pPr/>
      <w:r>
        <w:rPr>
          <w:b/>
          <w:bCs/>
        </w:rPr>
        <w:t xml:space="preserve">Description</w:t>
      </w:r>
    </w:p>
    <w:p>
      <w:pPr/>
      <w:r>
        <w:rPr/>
        <w:t xml:space="preserve">Préciser les consignes.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F232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0B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C89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37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2D0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B3E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B09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2026-06-24T03:31:49+02:00</dcterms:created>
  <dcterms:modified xsi:type="dcterms:W3CDTF">2026-06-24T03:31:49+02:00</dcterms:modified>
</cp:coreProperties>
</file>

<file path=docProps/custom.xml><?xml version="1.0" encoding="utf-8"?>
<Properties xmlns="http://schemas.openxmlformats.org/officeDocument/2006/custom-properties" xmlns:vt="http://schemas.openxmlformats.org/officeDocument/2006/docPropsVTypes"/>
</file>