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15/12/2025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Membrane de protection à l’eau de façade sur support bois</w:t>
      </w:r>
    </w:p>
    <w:p>
      <w:pPr/>
      <w:r>
        <w:rPr>
          <w:rStyle w:val="font_h1"/>
        </w:rPr>
        <w:t xml:space="preserve">1. Domaine d'emploi</w:t>
      </w:r>
    </w:p>
    <w:p>
      <w:pPr/>
      <w:r>
        <w:rPr/>
        <w:t xml:space="preserve">Validé par le Groupe Spécialisé le 31/01/2023</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Constructions à Ossature Bois conformes au NF DTU 31.2, paroi de CLT sous Avis Technique. </w:t>
      </w:r>
    </w:p>
    <w:p>
      <w:pPr>
        <w:pPr/>
        <w:numPr>
          <w:ilvl w:val="0"/>
          <w:numId w:val="9"/>
        </w:numPr>
      </w:pPr>
      <w:r>
        <w:rPr/>
        <w:t xml:space="preserve">Type d'ossatures visées : bois, acier, aluminium</w:t>
      </w:r>
    </w:p>
    <w:p>
      <w:pPr>
        <w:pPr/>
        <w:numPr>
          <w:ilvl w:val="0"/>
          <w:numId w:val="9"/>
        </w:numPr>
      </w:pPr>
      <w:r>
        <w:rPr/>
        <w:t xml:space="preserve">Lister sous forme de tableau selon les supports revendiqués et selon les revêtements visés (en précisant leur référentiel), les hauteurs d'ouvrage revendiquées selon la situation de l'ouvrage au sens du NF DTU 20.1 (situations a, b, c ou d).</w:t>
      </w:r>
    </w:p>
    <w:p>
      <w:pPr/>
      <w:r>
        <w:rPr>
          <w:b/>
          <w:bCs/>
        </w:rPr>
        <w:t xml:space="preserve">Justification</w:t>
      </w:r>
    </w:p>
    <w:p>
      <w:pPr/>
      <w:r>
        <w:rPr/>
        <w:t xml:space="preserve">pour le procédé dans sa globalité:</w:t>
      </w:r>
    </w:p>
    <w:p>
      <w:pPr>
        <w:pPr/>
        <w:numPr>
          <w:ilvl w:val="0"/>
          <w:numId w:val="10"/>
        </w:numPr>
      </w:pPr>
      <w:r>
        <w:rPr/>
        <w:t xml:space="preserve">Essai de pliabilité à froid conformément EN 495-5 à neuf et après vieillissement (12 semaines à 80°C et 24 semaines à 70°C).</w:t>
      </w:r>
    </w:p>
    <w:p>
      <w:pPr>
        <w:pPr/>
        <w:numPr>
          <w:ilvl w:val="0"/>
          <w:numId w:val="10"/>
        </w:numPr>
      </w:pPr>
      <w:r>
        <w:rPr/>
        <w:t xml:space="preserve">Essai de vieillissement de la membrane DELTA®-FASSADE à la lampe xénon conformément au cahier 3541 (janvier 2006) – « Guide Technique UEAtc pour l’agrément des systèmes d’étanchéité de toiture en polyoléfines flexibles (FPO) non armés, armés et/ou sous facés ». Après vieillissement : essais de résistance à la pénétration d’eau (EN 1928) et de souplesse à basse température (EN 495-5) </w:t>
      </w:r>
    </w:p>
    <w:p>
      <w:pPr>
        <w:pPr/>
        <w:numPr>
          <w:ilvl w:val="0"/>
          <w:numId w:val="10"/>
        </w:numPr>
      </w:pPr>
      <w:r>
        <w:rPr/>
        <w:t xml:space="preserve">Essais de durabilité de la membrane et des accessoires EN 12311-1 ; EN 12316-2 ; EN 12317-2, </w:t>
      </w:r>
    </w:p>
    <w:p>
      <w:pPr>
        <w:pPr/>
        <w:numPr>
          <w:ilvl w:val="0"/>
          <w:numId w:val="10"/>
        </w:numPr>
      </w:pPr>
      <w:r>
        <w:rPr/>
        <w:t xml:space="preserve">Essai de vieillissement à la chaleur suivi de la fatigue aux efforts de vent en dépression et de l’essai de l’étanchéité à l’eau en pression sur le procédé de revêtement extérieur conformément NF EN12155.</w:t>
      </w:r>
    </w:p>
    <w:p>
      <w:pPr>
        <w:pPr/>
        <w:numPr>
          <w:ilvl w:val="0"/>
          <w:numId w:val="10"/>
        </w:numPr>
      </w:pPr>
      <w:r>
        <w:rPr/>
        <w:t xml:space="preserve">Essai de réaction au feu conformément à la NF EN 13501 et PCS</w:t>
      </w:r>
    </w:p>
    <w:p>
      <w:pPr>
        <w:pPr/>
        <w:numPr>
          <w:ilvl w:val="0"/>
          <w:numId w:val="10"/>
        </w:numPr>
      </w:pPr>
      <w:r>
        <w:rPr/>
        <w:t xml:space="preserve">Essai de résistance à la charge du vent conformément au cahier 3517</w:t>
      </w:r>
    </w:p>
    <w:p>
      <w:pPr/>
      <w:r>
        <w:rPr>
          <w:rStyle w:val="font_h1"/>
        </w:rPr>
        <w:t xml:space="preserve">2. Eléments</w:t>
      </w:r>
    </w:p>
    <w:p>
      <w:pPr>
        <w:ind w:left="720" w:right="0"/>
      </w:pPr>
      <w:r>
        <w:rPr>
          <w:rStyle w:val="font_h2"/>
        </w:rPr>
        <w:t xml:space="preserve">2.1. Parements de bardage</w:t>
      </w:r>
    </w:p>
    <w:p>
      <w:pPr/>
      <w:r>
        <w:rPr/>
        <w:t xml:space="preserve">Validé par le Groupe Spécialisé le 31/01/2023</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31/01/2023</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Ossature bois</w:t>
      </w:r>
    </w:p>
    <w:p>
      <w:pPr/>
      <w:r>
        <w:rPr/>
        <w:t xml:space="preserve">Validé par le Groupe Spécialisé le 31/01/2023</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3316-V2.</w:t>
      </w:r>
    </w:p>
    <w:p>
      <w:pPr>
        <w:ind w:left="1440" w:right="0"/>
      </w:pPr>
      <w:r>
        <w:rPr>
          <w:rStyle w:val="font_h3"/>
        </w:rPr>
        <w:t xml:space="preserve">2.3.2. Ossature métallique</w:t>
      </w:r>
    </w:p>
    <w:p>
      <w:pPr/>
      <w:r>
        <w:rPr/>
        <w:t xml:space="preserve">Validé par le Groupe Spécialisé le 31/01/2023</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31/01/2023</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31/01/2023</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31/01/2023</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31/01/2023</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31/01/2023</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31/01/2023</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 et/ou Cahier du CSTB 3194 et son modificatif 3586-V2.</w:t>
      </w:r>
    </w:p>
    <w:p>
      <w:pPr>
        <w:ind w:left="720" w:right="0"/>
      </w:pPr>
      <w:r>
        <w:rPr>
          <w:rStyle w:val="font_h2"/>
        </w:rPr>
        <w:t xml:space="preserve">6.2. Ossature bois</w:t>
      </w:r>
    </w:p>
    <w:p>
      <w:pPr/>
      <w:r>
        <w:rPr/>
        <w:t xml:space="preserve">Validé par le Groupe Spécialisé le 31/01/2023</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w:t>
      </w:r>
    </w:p>
    <w:p>
      <w:pPr>
        <w:ind w:left="720" w:right="0"/>
      </w:pPr>
      <w:r>
        <w:rPr>
          <w:rStyle w:val="font_h2"/>
        </w:rPr>
        <w:t xml:space="preserve">6.3. Ossature métallique</w:t>
      </w:r>
    </w:p>
    <w:p>
      <w:pPr/>
      <w:r>
        <w:rPr/>
        <w:t xml:space="preserve">Validé par le Groupe Spécialisé le 31/01/2023</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3194 et son modificatif 3586-V2.</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31/01/2023</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ind w:left="720" w:right="0"/>
      </w:pPr>
      <w:r>
        <w:rPr>
          <w:rStyle w:val="font_h2"/>
        </w:rPr>
        <w:t xml:space="preserve">7.2. Pose des éléments de bardage</w:t>
      </w:r>
    </w:p>
    <w:p>
      <w:pPr/>
      <w:r>
        <w:rPr/>
        <w:t xml:space="preserve">Validé par le Groupe Spécialisé le 31/01/2023</w:t>
      </w:r>
    </w:p>
    <w:p>
      <w:pPr/>
      <w:r>
        <w:rPr>
          <w:b/>
          <w:bCs/>
        </w:rPr>
        <w:t xml:space="preserve">Description</w:t>
      </w:r>
    </w:p>
    <w:p>
      <w:pPr/>
      <w:r>
        <w:rPr/>
        <w:t xml:space="preserve">Indiquer : </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principe sur ossature bois </w:t>
      </w:r>
    </w:p>
    <w:p>
      <w:pPr/>
      <w:r>
        <w:rPr/>
        <w:t xml:space="preserve">Schéma de principe sur ossature métallique </w:t>
      </w:r>
    </w:p>
    <w:p>
      <w:pPr/>
      <w:r>
        <w:rPr/>
        <w:t xml:space="preserve">Figures communes ossature bois / ossature métallique :•Joint horizontal (coupe verticale)•Joint vertical (coupe horizontale)•Arrêt sur acrotère•Arrêt latéral•Joint de dilatation•Angle rentrant•Compartimentage horizontal de la lame d’air•Pose en zone exposée aux chocs : renforcement éventuel•Remplacement d’un élément </w:t>
      </w:r>
    </w:p>
    <w:p>
      <w:pPr/>
      <w:r>
        <w:rPr/>
        <w:t xml:space="preserve">Figures ne concernant que l’ossature bois :•Départ de bardage•Appui de baie•Tableau•Linteau•Angle sortant•Fractionnement de l’ossature : Chevrons de longueur ≤ 5,40m•Fractionnement de l’ossature : Chevrons de longueur comprise entre 5,40m et 11m </w:t>
      </w:r>
    </w:p>
    <w:p>
      <w:pPr/>
      <w:r>
        <w:rPr/>
        <w:t xml:space="preserve">Figures ne concernant que l’ossature métallique :•Départ de bardage•Appui de baie•Tableau•Linteau•Angle sortant•Fractionnement de l’ossature : Montants acier de longueur ≤ 6m / Montants en aluminium de longueur ≤ 3m•Fractionnement de l’ossature : Montants en aluminium de longueur comprise entre 3m et 6m </w:t>
      </w:r>
    </w:p>
    <w:p>
      <w:pPr/>
      <w:r>
        <w:rPr/>
        <w:t xml:space="preserve">Figures sur COB :•Coupe horizontale sur COB•Coupe verticale sur COB•Recoupement du pare-pluie tous les 6m</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31/01/2023</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31/01/2023</w:t>
      </w:r>
    </w:p>
    <w:p>
      <w:pPr/>
      <w:r>
        <w:rPr>
          <w:b/>
          <w:bCs/>
        </w:rPr>
        <w:t xml:space="preserve">Description</w:t>
      </w:r>
    </w:p>
    <w:p>
      <w:pPr/>
      <w:r>
        <w:rPr/>
        <w:t xml:space="preserve">Dans les cas suivants :</w:t>
      </w:r>
    </w:p>
    <w:p>
      <w:pPr>
        <w:pPr/>
        <w:numPr>
          <w:ilvl w:val="0"/>
          <w:numId w:val="16"/>
        </w:numPr>
      </w:pPr>
      <w:r>
        <w:rPr/>
        <w:t xml:space="preserve">de 10 à 18 m de hauteur (+ pointe de pignon) en zones de vent 1, 2 et 3 en situations a, b et c,</w:t>
      </w:r>
    </w:p>
    <w:p>
      <w:pPr>
        <w:pPr/>
        <w:numPr>
          <w:ilvl w:val="0"/>
          <w:numId w:val="16"/>
        </w:numPr>
      </w:pPr>
      <w:r>
        <w:rPr/>
        <w:t xml:space="preserve">de 6 à 10 m de hauteur (+ pointe de pignon) en zones de vent 1 à 4 en situation d,</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7"/>
        </w:numPr>
      </w:pPr>
      <w:r>
        <w:rPr/>
        <w:t xml:space="preserve">Joints fermés par des profilés « chaises » ou façonnés métalliques ,</w:t>
      </w:r>
    </w:p>
    <w:p>
      <w:pPr>
        <w:pPr/>
        <w:numPr>
          <w:ilvl w:val="0"/>
          <w:numId w:val="17"/>
        </w:numPr>
      </w:pPr>
      <w:r>
        <w:rPr/>
        <w:t xml:space="preserve">Mise en œuvre de bavettes à oreilles en profilés métalliques pré-formés prolongées au-delà du plan vertical du parement, </w:t>
      </w:r>
    </w:p>
    <w:p>
      <w:pPr>
        <w:pPr/>
        <w:numPr>
          <w:ilvl w:val="0"/>
          <w:numId w:val="17"/>
        </w:numPr>
      </w:pPr>
      <w:r>
        <w:rPr/>
        <w:t xml:space="preserve">Mise en œuvre de profilés métalliques préformés en linteau prolongés de 40 mm au-delà des tableaux des baies,</w:t>
      </w:r>
    </w:p>
    <w:p>
      <w:pPr>
        <w:pPr/>
        <w:numPr>
          <w:ilvl w:val="0"/>
          <w:numId w:val="17"/>
        </w:numPr>
      </w:pPr>
      <w:r>
        <w:rPr/>
        <w:t xml:space="preserve">Mise en œuvre de profilés métalliques préformés sur les tableaux des baies.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31/01/2023</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ind w:left="720" w:right="0"/>
      </w:pPr>
      <w:r>
        <w:rPr>
          <w:rStyle w:val="font_h2"/>
        </w:rPr>
        <w:t xml:space="preserve">9.2. Chevilles de fixation ou tirefonds</w:t>
      </w:r>
    </w:p>
    <w:p>
      <w:pPr/>
      <w:r>
        <w:rPr/>
        <w:t xml:space="preserve">Validé par le Groupe Spécialisé le 31/01/2023</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Fournir les calculs de sollicitations des chevilles de fixation ou des tirefonds suivant le Cahier du CSTB 3725. </w:t>
      </w:r>
    </w:p>
    <w:p>
      <w:pPr/>
      <w:r>
        <w:rPr/>
        <w:t xml:space="preserve">Fournir une référence de fixation satisfaisant à ces sollicitations.</w:t>
      </w:r>
    </w:p>
    <w:p>
      <w:pPr>
        <w:ind w:left="720" w:right="0"/>
      </w:pPr>
      <w:r>
        <w:rPr>
          <w:rStyle w:val="font_h2"/>
        </w:rPr>
        <w:t xml:space="preserve">9.3. Points singuliers</w:t>
      </w:r>
    </w:p>
    <w:p>
      <w:pPr/>
      <w:r>
        <w:rPr/>
        <w:t xml:space="preserve">Validé par le Groupe Spécialisé le 31/01/2023</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8"/>
        </w:numPr>
      </w:pPr>
      <w:r>
        <w:rPr/>
        <w:t xml:space="preserve">Traitement du joint de dilatation du gros œuvre de 12 à 15 cm </w:t>
      </w:r>
    </w:p>
    <w:p>
      <w:pPr>
        <w:pPr/>
        <w:numPr>
          <w:ilvl w:val="0"/>
          <w:numId w:val="18"/>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31/01/2023</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31/01/2023</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62E81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9CD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B81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1DB3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5263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B069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0DB5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AA3F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3D11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0628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2025-12-15T03:49:39+01:00</dcterms:created>
  <dcterms:modified xsi:type="dcterms:W3CDTF">2025-12-15T03:49:39+01:00</dcterms:modified>
</cp:coreProperties>
</file>

<file path=docProps/custom.xml><?xml version="1.0" encoding="utf-8"?>
<Properties xmlns="http://schemas.openxmlformats.org/officeDocument/2006/custom-properties" xmlns:vt="http://schemas.openxmlformats.org/officeDocument/2006/docPropsVTypes"/>
</file>